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3" w:name="Xc12fa9dc96d32a89a4f11fe03cee81583093a1e"/>
    <w:p>
      <w:pPr>
        <w:pStyle w:val="Heading1"/>
        <w:spacing w:before="3000" w:after="480"/>
        <w:jc w:val="center"/>
      </w:pPr>
      <w:r>
        <w:rPr>
          <w:rFonts w:ascii="Aptos Display" w:hAnsi="Aptos Display"/>
          <w:b/>
          <w:color w:val="0C374A"/>
          <w:sz w:val="56"/>
        </w:rPr>
        <w:t xml:space="preserve">Nicotinamide Adenine Dinucleotide Restoration in Mechanistic and Clinical Medicine</w:t>
      </w:r>
    </w:p>
    <w:p>
      <w:pPr>
        <w:pStyle w:val="FirstParagraph"/>
        <w:spacing w:after="680"/>
        <w:jc w:val="center"/>
      </w:pPr>
      <w:r>
        <w:rPr>
          <w:iCs/>
          <w:rFonts w:ascii="Aptos" w:hAnsi="Aptos"/>
          <w:i/>
          <w:color w:val="10918B"/>
          <w:sz w:val="26"/>
        </w:rPr>
        <w:t xml:space="preserve">An integrated monograph of NAD+ biochemistry, compartmentation, intravenous exposure, oral precursor continuity, methyl-donor architecture, compounded preparation quality and longitudinal clinical reasoning</w:t>
      </w:r>
    </w:p>
    <w:p>
      <w:pPr>
        <w:pStyle w:val="BodyText"/>
      </w:pPr>
      <w:r>
        <w:rPr>
          <w:bCs/>
          <w:b/>
        </w:rPr>
        <w:t xml:space="preserve">Author:</w:t>
      </w:r>
      <w:r>
        <w:t xml:space="preserve"> </w:t>
      </w:r>
      <w:r>
        <w:t xml:space="preserve">Valentine Wibowo, Clinical Researcher</w:t>
      </w:r>
      <w:r>
        <w:br/>
      </w:r>
      <w:r>
        <w:rPr>
          <w:bCs/>
          <w:b/>
        </w:rPr>
        <w:t xml:space="preserve">Institutional affiliation:</w:t>
      </w:r>
      <w:r>
        <w:t xml:space="preserve"> </w:t>
      </w:r>
      <w:r>
        <w:t xml:space="preserve">Clinic Terrain Clinical Intelligence Unit, Klinik Pratama Cepat Sehat, Bali, Indonesia</w:t>
      </w:r>
      <w:r>
        <w:br/>
      </w:r>
      <w:r>
        <w:rPr>
          <w:bCs/>
          <w:b/>
        </w:rPr>
        <w:t xml:space="preserve">Medical reviewer:</w:t>
      </w:r>
      <w:r>
        <w:t xml:space="preserve"> </w:t>
      </w:r>
      <w:r>
        <w:t xml:space="preserve">dr. I Wayan Cahyadi Surya Distira Putra, MPH — medical review completed; final approval signed</w:t>
      </w:r>
      <w:r>
        <w:br/>
      </w:r>
      <w:r>
        <w:rPr>
          <w:bCs/>
          <w:b/>
        </w:rPr>
        <w:t xml:space="preserve">Document status:</w:t>
      </w:r>
      <w:r>
        <w:t xml:space="preserve"> </w:t>
      </w:r>
      <w:r>
        <w:t xml:space="preserve">Final scientific monograph; approved for publication</w:t>
      </w:r>
      <w:r>
        <w:br/>
      </w:r>
      <w:r>
        <w:rPr>
          <w:bCs/>
          <w:b/>
        </w:rPr>
        <w:t xml:space="preserve">Version:</w:t>
      </w:r>
      <w:r>
        <w:t xml:space="preserve"> </w:t>
      </w:r>
      <w:r>
        <w:t xml:space="preserve">3.1 — final</w:t>
      </w:r>
      <w:r>
        <w:br/>
      </w:r>
      <w:r>
        <w:rPr>
          <w:bCs/>
          <w:b/>
        </w:rPr>
        <w:t xml:space="preserve">Evidence cutoff:</w:t>
      </w:r>
      <w:r>
        <w:t xml:space="preserve"> </w:t>
      </w:r>
      <w:r>
        <w:t xml:space="preserve">12 August 2026</w:t>
      </w:r>
      <w:r>
        <w:br/>
      </w:r>
      <w:r>
        <w:rPr>
          <w:bCs/>
          <w:b/>
        </w:rPr>
        <w:t xml:space="preserve">Intended use:</w:t>
      </w:r>
      <w:r>
        <w:t xml:space="preserve"> </w:t>
      </w:r>
      <w:r>
        <w:t xml:space="preserve">Scientific doctrine, clinician education, research</w:t>
      </w:r>
      <w:r>
        <w:t xml:space="preserve"> </w:t>
      </w:r>
      <w:r>
        <w:t xml:space="preserve">planning and structured clinical reasoning. It is not a universal</w:t>
      </w:r>
      <w:r>
        <w:t xml:space="preserve"> </w:t>
      </w:r>
      <w:r>
        <w:t xml:space="preserve">prescription or a substitute for physician assessment.</w:t>
      </w:r>
    </w:p>
    <w:p>
      <w:pPr>
        <w:pStyle w:val="BodyText"/>
      </w:pPr>
      <w:r>
        <w:rPr>
          <w:bCs/>
          <w:b/>
        </w:rPr>
        <w:t xml:space="preserve">Manuscript type:</w:t>
      </w:r>
      <w:r>
        <w:t xml:space="preserve"> </w:t>
      </w:r>
      <w:r>
        <w:t xml:space="preserve">Structured mechanistic and translational monograph;</w:t>
      </w:r>
      <w:r>
        <w:t xml:space="preserve"> </w:t>
      </w:r>
      <w:r>
        <w:t xml:space="preserve">not a systematic review, clinical guideline or promotional</w:t>
      </w:r>
      <w:r>
        <w:t xml:space="preserve"> </w:t>
      </w:r>
      <w:r>
        <w:t xml:space="preserve">communication.</w:t>
      </w:r>
    </w:p>
    <w:bookmarkStart w:id="20" w:name="abstract"/>
    <w:p>
      <w:pPr>
        <w:pStyle w:val="Heading2"/>
        <w:pageBreakBefore/>
      </w:pPr>
      <w:r>
        <w:t xml:space="preserve">Abstract</w:t>
      </w:r>
    </w:p>
    <w:p>
      <w:pPr>
        <w:pStyle w:val="FirstParagraph"/>
      </w:pPr>
      <w:r>
        <w:t xml:space="preserve">Nicotinamide adenine dinucleotide (NAD+) occupies an unusual position in</w:t>
      </w:r>
      <w:r>
        <w:t xml:space="preserve"> </w:t>
      </w:r>
      <w:r>
        <w:t xml:space="preserve">human biology. It is simultaneously a redox cofactor, a determinant of</w:t>
      </w:r>
      <w:r>
        <w:t xml:space="preserve"> </w:t>
      </w:r>
      <w:r>
        <w:t xml:space="preserve">energy transfer, a substrate for signaling and repair enzymes, and a</w:t>
      </w:r>
      <w:r>
        <w:t xml:space="preserve"> </w:t>
      </w:r>
      <w:r>
        <w:t xml:space="preserve">metabolite whose biological meaning depends on tissue, cellular</w:t>
      </w:r>
      <w:r>
        <w:t xml:space="preserve"> </w:t>
      </w:r>
      <w:r>
        <w:t xml:space="preserve">compartment, redox state, rate of synthesis and rate of consumption.</w:t>
      </w:r>
      <w:r>
        <w:t xml:space="preserve"> </w:t>
      </w:r>
      <w:r>
        <w:t xml:space="preserve">This makes NAD+ restoration a plausible clinical strategy, but also</w:t>
      </w:r>
      <w:r>
        <w:t xml:space="preserve"> </w:t>
      </w:r>
      <w:r>
        <w:t xml:space="preserve">makes simplistic reasoning unreliable. A rise in whole-blood NAD+ is</w:t>
      </w:r>
      <w:r>
        <w:t xml:space="preserve"> </w:t>
      </w:r>
      <w:r>
        <w:t xml:space="preserve">evidence of biochemical target engagement; it is not, by itself, proof</w:t>
      </w:r>
      <w:r>
        <w:t xml:space="preserve"> </w:t>
      </w:r>
      <w:r>
        <w:t xml:space="preserve">of mitochondrial restoration, symptom resolution or disease</w:t>
      </w:r>
      <w:r>
        <w:t xml:space="preserve"> </w:t>
      </w:r>
      <w:r>
        <w:t xml:space="preserve">modification.</w:t>
      </w:r>
    </w:p>
    <w:p>
      <w:pPr>
        <w:pStyle w:val="BodyText"/>
      </w:pPr>
      <w:r>
        <w:t xml:space="preserve">This monograph integrates six evidence domains: established</w:t>
      </w:r>
      <w:r>
        <w:t xml:space="preserve"> </w:t>
      </w:r>
      <w:r>
        <w:t xml:space="preserve">biochemistry; cellular and subcellular distribution; route-dependent</w:t>
      </w:r>
      <w:r>
        <w:t xml:space="preserve"> </w:t>
      </w:r>
      <w:r>
        <w:t xml:space="preserve">pharmacology; human intervention data; safety and counter-evidence; and</w:t>
      </w:r>
      <w:r>
        <w:t xml:space="preserve"> </w:t>
      </w:r>
      <w:r>
        <w:t xml:space="preserve">longitudinal patient response. Regulatory approval is recorded as an</w:t>
      </w:r>
      <w:r>
        <w:t xml:space="preserve"> </w:t>
      </w:r>
      <w:r>
        <w:t xml:space="preserve">operational fact but is not used as a proxy for biochemical truth or</w:t>
      </w:r>
      <w:r>
        <w:t xml:space="preserve"> </w:t>
      </w:r>
      <w:r>
        <w:t xml:space="preserve">clinical value. Conversely, mechanistic plausibility is not promoted</w:t>
      </w:r>
      <w:r>
        <w:t xml:space="preserve"> </w:t>
      </w:r>
      <w:r>
        <w:t xml:space="preserve">automatically to clinical efficacy. Each conclusion is assigned to the</w:t>
      </w:r>
      <w:r>
        <w:t xml:space="preserve"> </w:t>
      </w:r>
      <w:r>
        <w:t xml:space="preserve">level it actually supports.</w:t>
      </w:r>
    </w:p>
    <w:p>
      <w:pPr>
        <w:pStyle w:val="BodyText"/>
      </w:pPr>
      <w:r>
        <w:t xml:space="preserve">The central clinical proposition is that NAD+ restoration is better</w:t>
      </w:r>
      <w:r>
        <w:t xml:space="preserve"> </w:t>
      </w:r>
      <w:r>
        <w:t xml:space="preserve">understood as an architecture than as a single product. Intravenous NAD+</w:t>
      </w:r>
      <w:r>
        <w:t xml:space="preserve"> </w:t>
      </w:r>
      <w:r>
        <w:t xml:space="preserve">produces an acute extracellular exposure that is rapidly metabolized and</w:t>
      </w:r>
      <w:r>
        <w:t xml:space="preserve"> </w:t>
      </w:r>
      <w:r>
        <w:t xml:space="preserve">is often rate-limited by tolerability. Oral nicotinamide riboside (NR)</w:t>
      </w:r>
      <w:r>
        <w:t xml:space="preserve"> </w:t>
      </w:r>
      <w:r>
        <w:t xml:space="preserve">and nicotinamide mononucleotide (NMN) can produce slower, sustained</w:t>
      </w:r>
      <w:r>
        <w:t xml:space="preserve"> </w:t>
      </w:r>
      <w:r>
        <w:t xml:space="preserve">changes in the circulating NAD metabolome and, in selected studies,</w:t>
      </w:r>
      <w:r>
        <w:t xml:space="preserve"> </w:t>
      </w:r>
      <w:r>
        <w:t xml:space="preserve">measurable changes in skeletal muscle or cerebral NAD-related signals.</w:t>
      </w:r>
      <w:r>
        <w:t xml:space="preserve"> </w:t>
      </w:r>
      <w:r>
        <w:t xml:space="preserve">Trimethylglycine (TMG, betaine) is not an obligatory companion. It is a</w:t>
      </w:r>
      <w:r>
        <w:t xml:space="preserve"> </w:t>
      </w:r>
      <w:r>
        <w:t xml:space="preserve">conditional methyl-donor intervention whose rationale depends on</w:t>
      </w:r>
      <w:r>
        <w:t xml:space="preserve"> </w:t>
      </w:r>
      <w:r>
        <w:t xml:space="preserve">nicotinamide disposal, homocysteine, folate and vitamin B12 status,</w:t>
      </w:r>
      <w:r>
        <w:t xml:space="preserve"> </w:t>
      </w:r>
      <w:r>
        <w:t xml:space="preserve">liver and kidney context, dietary methyl supply and lipid trajectory.</w:t>
      </w:r>
    </w:p>
    <w:p>
      <w:pPr>
        <w:pStyle w:val="BodyText"/>
      </w:pPr>
      <w:r>
        <w:t xml:space="preserve">Human trials consistently support biochemical target engagement for NR</w:t>
      </w:r>
      <w:r>
        <w:t xml:space="preserve"> </w:t>
      </w:r>
      <w:r>
        <w:t xml:space="preserve">and NMN, while functional outcomes remain heterogeneous,</w:t>
      </w:r>
      <w:r>
        <w:t xml:space="preserve"> </w:t>
      </w:r>
      <w:r>
        <w:t xml:space="preserve">population-dependent and often null. Evidence for intravenous NAD+</w:t>
      </w:r>
      <w:r>
        <w:t xml:space="preserve"> </w:t>
      </w:r>
      <w:r>
        <w:t xml:space="preserve">itself is materially thinner: a small metabolomic pilot demonstrates</w:t>
      </w:r>
      <w:r>
        <w:t xml:space="preserve"> </w:t>
      </w:r>
      <w:r>
        <w:t xml:space="preserve">rapid plasma disappearance and production of downstream metabolites,</w:t>
      </w:r>
      <w:r>
        <w:t xml:space="preserve"> </w:t>
      </w:r>
      <w:r>
        <w:t xml:space="preserve">while a retrospective clinical series documents rate-related</w:t>
      </w:r>
      <w:r>
        <w:t xml:space="preserve"> </w:t>
      </w:r>
      <w:r>
        <w:t xml:space="preserve">gastrointestinal symptoms, chest pressure and longer infusion time.</w:t>
      </w:r>
      <w:r>
        <w:t xml:space="preserve"> </w:t>
      </w:r>
      <w:r>
        <w:t xml:space="preserve">There are no robust outcome trials establishing intravenous NAD+ as a</w:t>
      </w:r>
      <w:r>
        <w:t xml:space="preserve"> </w:t>
      </w:r>
      <w:r>
        <w:t xml:space="preserve">universal treatment for fatigue, brain fog, aging or addiction.</w:t>
      </w:r>
    </w:p>
    <w:p>
      <w:pPr>
        <w:pStyle w:val="BodyText"/>
      </w:pPr>
      <w:r>
        <w:t xml:space="preserve">Clinic Terrain therefore proposes the</w:t>
      </w:r>
      <w:r>
        <w:t xml:space="preserve"> </w:t>
      </w:r>
      <w:r>
        <w:rPr>
          <w:bCs/>
          <w:b/>
        </w:rPr>
        <w:t xml:space="preserve">NAD-5D clinical reasoning</w:t>
      </w:r>
      <w:r>
        <w:rPr>
          <w:bCs/>
          <w:b/>
        </w:rPr>
        <w:t xml:space="preserve"> </w:t>
      </w:r>
      <w:r>
        <w:rPr>
          <w:bCs/>
          <w:b/>
        </w:rPr>
        <w:t xml:space="preserve">model</w:t>
      </w:r>
      <w:r>
        <w:t xml:space="preserve">: Deficit, Delivery, Distribution, Drain and Demonstrated</w:t>
      </w:r>
      <w:r>
        <w:t xml:space="preserve"> </w:t>
      </w:r>
      <w:r>
        <w:t xml:space="preserve">response. The model prevents the common error of equating administration</w:t>
      </w:r>
      <w:r>
        <w:t xml:space="preserve"> </w:t>
      </w:r>
      <w:r>
        <w:t xml:space="preserve">with intracellular delivery, biochemical engagement with patient</w:t>
      </w:r>
      <w:r>
        <w:t xml:space="preserve"> </w:t>
      </w:r>
      <w:r>
        <w:t xml:space="preserve">benefit, or initial response with durable restoration. NAD-directed care</w:t>
      </w:r>
      <w:r>
        <w:t xml:space="preserve"> </w:t>
      </w:r>
      <w:r>
        <w:t xml:space="preserve">is most defensible when embedded in a mechanistically defined,</w:t>
      </w:r>
      <w:r>
        <w:t xml:space="preserve"> </w:t>
      </w:r>
      <w:r>
        <w:t xml:space="preserve">quality-controlled and longitudinally falsifiable program.</w:t>
      </w:r>
    </w:p>
    <w:bookmarkEnd w:id="20"/>
    <w:bookmarkStart w:id="21" w:name="key-findings"/>
    <w:p>
      <w:pPr>
        <w:pStyle w:val="Heading2"/>
      </w:pPr>
      <w:r>
        <w:t xml:space="preserve">Key findings</w:t>
      </w:r>
    </w:p>
    <w:p>
      <w:pPr>
        <w:numPr>
          <w:ilvl w:val="0"/>
          <w:numId w:val="1001"/>
        </w:numPr>
        <w:pStyle w:val="Compact"/>
      </w:pPr>
      <w:r>
        <w:rPr>
          <w:bCs/>
          <w:b/>
        </w:rPr>
        <w:t xml:space="preserve">NAD is a compartmented network, not a single circulating</w:t>
      </w:r>
      <w:r>
        <w:rPr>
          <w:bCs/>
          <w:b/>
        </w:rPr>
        <w:t xml:space="preserve"> </w:t>
      </w:r>
      <w:r>
        <w:rPr>
          <w:bCs/>
          <w:b/>
        </w:rPr>
        <w:t xml:space="preserve">quantity.</w:t>
      </w:r>
      <w:r>
        <w:t xml:space="preserve"> </w:t>
      </w:r>
      <w:r>
        <w:t xml:space="preserve">Cytosolic, nuclear and mitochondrial pools communicate</w:t>
      </w:r>
      <w:r>
        <w:t xml:space="preserve"> </w:t>
      </w:r>
      <w:r>
        <w:t xml:space="preserve">but are not interchangeable; blood target engagement cannot be</w:t>
      </w:r>
      <w:r>
        <w:t xml:space="preserve"> </w:t>
      </w:r>
      <w:r>
        <w:t xml:space="preserve">promoted automatically to tissue or organelle restoration.</w:t>
      </w:r>
    </w:p>
    <w:p>
      <w:pPr>
        <w:numPr>
          <w:ilvl w:val="0"/>
          <w:numId w:val="1001"/>
        </w:numPr>
        <w:pStyle w:val="Compact"/>
      </w:pPr>
      <w:r>
        <w:rPr>
          <w:bCs/>
          <w:b/>
        </w:rPr>
        <w:t xml:space="preserve">Whole-blood NAD is an exposure biomarker, not a validated</w:t>
      </w:r>
      <w:r>
        <w:rPr>
          <w:bCs/>
          <w:b/>
        </w:rPr>
        <w:t xml:space="preserve"> </w:t>
      </w:r>
      <w:r>
        <w:rPr>
          <w:bCs/>
          <w:b/>
        </w:rPr>
        <w:t xml:space="preserve">biomarker of human aging.</w:t>
      </w:r>
      <w:r>
        <w:t xml:space="preserve"> </w:t>
      </w:r>
      <w:r>
        <w:t xml:space="preserve">A 2026 analysis across seven cohorts</w:t>
      </w:r>
      <w:r>
        <w:t xml:space="preserve"> </w:t>
      </w:r>
      <w:r>
        <w:t xml:space="preserve">found whole-blood NAD remarkably stable with age and lifestyle</w:t>
      </w:r>
      <w:r>
        <w:t xml:space="preserve"> </w:t>
      </w:r>
      <w:r>
        <w:t xml:space="preserve">intervention while remaining responsive to NR [43]. Human tissue</w:t>
      </w:r>
      <w:r>
        <w:t xml:space="preserve"> </w:t>
      </w:r>
      <w:r>
        <w:t xml:space="preserve">findings are more heterogeneous and are strongly shaped by tissue,</w:t>
      </w:r>
      <w:r>
        <w:t xml:space="preserve"> </w:t>
      </w:r>
      <w:r>
        <w:t xml:space="preserve">sex, matrix and assay [44–46].</w:t>
      </w:r>
    </w:p>
    <w:p>
      <w:pPr>
        <w:numPr>
          <w:ilvl w:val="0"/>
          <w:numId w:val="1001"/>
        </w:numPr>
        <w:pStyle w:val="Compact"/>
      </w:pPr>
      <w:r>
        <w:rPr>
          <w:bCs/>
          <w:b/>
        </w:rPr>
        <w:t xml:space="preserve">Intravenous NAD creates controlled vascular exposure, not proven</w:t>
      </w:r>
      <w:r>
        <w:rPr>
          <w:bCs/>
          <w:b/>
        </w:rPr>
        <w:t xml:space="preserve"> </w:t>
      </w:r>
      <w:r>
        <w:rPr>
          <w:bCs/>
          <w:b/>
        </w:rPr>
        <w:t xml:space="preserve">intact intracellular delivery.</w:t>
      </w:r>
      <w:r>
        <w:t xml:space="preserve"> </w:t>
      </w:r>
      <w:r>
        <w:t xml:space="preserve">The principal human metabolomic</w:t>
      </w:r>
      <w:r>
        <w:t xml:space="preserve"> </w:t>
      </w:r>
      <w:r>
        <w:t xml:space="preserve">study documents rapid plasma disappearance and downstream metabolite</w:t>
      </w:r>
      <w:r>
        <w:t xml:space="preserve"> </w:t>
      </w:r>
      <w:r>
        <w:t xml:space="preserve">formation [6]. Controlled outcome evidence for broad fatigue,</w:t>
      </w:r>
      <w:r>
        <w:t xml:space="preserve"> </w:t>
      </w:r>
      <w:r>
        <w:t xml:space="preserve">brain fog, addiction or healthy-aging claims remains absent.</w:t>
      </w:r>
    </w:p>
    <w:p>
      <w:pPr>
        <w:numPr>
          <w:ilvl w:val="0"/>
          <w:numId w:val="1001"/>
        </w:numPr>
        <w:pStyle w:val="Compact"/>
      </w:pPr>
      <w:r>
        <w:rPr>
          <w:bCs/>
          <w:b/>
        </w:rPr>
        <w:t xml:space="preserve">Oral NR and NMN reliably engage the circulating NAD metabolome.</w:t>
      </w:r>
      <w:r>
        <w:t xml:space="preserve"> </w:t>
      </w:r>
      <w:r>
        <w:t xml:space="preserve">Some studies demonstrate muscle or cerebral engagement, but clinical</w:t>
      </w:r>
      <w:r>
        <w:t xml:space="preserve"> </w:t>
      </w:r>
      <w:r>
        <w:t xml:space="preserve">results range from positive signals to explicitly null primary</w:t>
      </w:r>
      <w:r>
        <w:t xml:space="preserve"> </w:t>
      </w:r>
      <w:r>
        <w:t xml:space="preserve">outcomes [11–24,38–40,53–55].</w:t>
      </w:r>
    </w:p>
    <w:p>
      <w:pPr>
        <w:numPr>
          <w:ilvl w:val="0"/>
          <w:numId w:val="1001"/>
        </w:numPr>
        <w:pStyle w:val="Compact"/>
      </w:pPr>
      <w:r>
        <w:rPr>
          <w:bCs/>
          <w:b/>
        </w:rPr>
        <w:t xml:space="preserve">TMG is conditional.</w:t>
      </w:r>
      <w:r>
        <w:t xml:space="preserve"> </w:t>
      </w:r>
      <w:r>
        <w:t xml:space="preserve">NNMT creates a mechanistic connection</w:t>
      </w:r>
      <w:r>
        <w:t xml:space="preserve"> </w:t>
      </w:r>
      <w:r>
        <w:t xml:space="preserve">between NAD turnover and one-carbon metabolism, but human data do</w:t>
      </w:r>
      <w:r>
        <w:t xml:space="preserve"> </w:t>
      </w:r>
      <w:r>
        <w:t xml:space="preserve">not support mandatory methyl-donor supplementation. Homocysteine,</w:t>
      </w:r>
      <w:r>
        <w:t xml:space="preserve"> </w:t>
      </w:r>
      <w:r>
        <w:t xml:space="preserve">B-vitamin status, diet, liver and kidney context and lipid response</w:t>
      </w:r>
      <w:r>
        <w:t xml:space="preserve"> </w:t>
      </w:r>
      <w:r>
        <w:t xml:space="preserve">determine relevance [25–29,40].</w:t>
      </w:r>
    </w:p>
    <w:p>
      <w:pPr>
        <w:numPr>
          <w:ilvl w:val="0"/>
          <w:numId w:val="1001"/>
        </w:numPr>
        <w:pStyle w:val="Compact"/>
      </w:pPr>
      <w:r>
        <w:rPr>
          <w:bCs/>
          <w:b/>
        </w:rPr>
        <w:t xml:space="preserve">Cancer requires context-specific analysis.</w:t>
      </w:r>
      <w:r>
        <w:t xml:space="preserve"> </w:t>
      </w:r>
      <w:r>
        <w:t xml:space="preserve">NAD can support</w:t>
      </w:r>
      <w:r>
        <w:t xml:space="preserve"> </w:t>
      </w:r>
      <w:r>
        <w:t xml:space="preserve">normal tissue resilience, DNA repair or treatment response, but can</w:t>
      </w:r>
      <w:r>
        <w:t xml:space="preserve"> </w:t>
      </w:r>
      <w:r>
        <w:t xml:space="preserve">also sustain tumor metabolism and experimental therapy resistance.</w:t>
      </w:r>
      <w:r>
        <w:t xml:space="preserve"> </w:t>
      </w:r>
      <w:r>
        <w:t xml:space="preserve">Tumor type, disease status and treatment mechanism must decide the</w:t>
      </w:r>
      <w:r>
        <w:t xml:space="preserve"> </w:t>
      </w:r>
      <w:r>
        <w:t xml:space="preserve">risk analysis [31–37].</w:t>
      </w:r>
    </w:p>
    <w:p>
      <w:pPr>
        <w:numPr>
          <w:ilvl w:val="0"/>
          <w:numId w:val="1001"/>
        </w:numPr>
        <w:pStyle w:val="Compact"/>
      </w:pPr>
      <w:r>
        <w:rPr>
          <w:bCs/>
          <w:b/>
        </w:rPr>
        <w:t xml:space="preserve">The defensible clinical unit is a longitudinal, falsifiable</w:t>
      </w:r>
      <w:r>
        <w:rPr>
          <w:bCs/>
          <w:b/>
        </w:rPr>
        <w:t xml:space="preserve"> </w:t>
      </w:r>
      <w:r>
        <w:rPr>
          <w:bCs/>
          <w:b/>
        </w:rPr>
        <w:t xml:space="preserve">therapeutic experiment.</w:t>
      </w:r>
      <w:r>
        <w:t xml:space="preserve"> </w:t>
      </w:r>
      <w:r>
        <w:t xml:space="preserve">Clinic Terrain's NAD-5D model separates</w:t>
      </w:r>
      <w:r>
        <w:t xml:space="preserve"> </w:t>
      </w:r>
      <w:r>
        <w:t xml:space="preserve">Deficit, Delivery, Distribution, Drain and Demonstrated response,</w:t>
      </w:r>
      <w:r>
        <w:t xml:space="preserve"> </w:t>
      </w:r>
      <w:r>
        <w:t xml:space="preserve">and requires product traceability, pre-defined outcomes and stopping</w:t>
      </w:r>
      <w:r>
        <w:t xml:space="preserve"> </w:t>
      </w:r>
      <w:r>
        <w:t xml:space="preserve">rules.</w:t>
      </w:r>
    </w:p>
    <w:bookmarkEnd w:id="21"/>
    <w:bookmarkStart w:id="22" w:name="contents"/>
    <w:p>
      <w:pPr>
        <w:pStyle w:val="Heading2"/>
      </w:pPr>
      <w:r>
        <w:t xml:space="preserve">Contents</w:t>
      </w:r>
    </w:p>
    <w:p>
      <w:pPr>
        <w:numPr>
          <w:ilvl w:val="0"/>
          <w:numId w:val="1002"/>
        </w:numPr>
        <w:pStyle w:val="Compact"/>
      </w:pPr>
      <w:r>
        <w:t xml:space="preserve">Purpose and scope</w:t>
      </w:r>
    </w:p>
    <w:p>
      <w:pPr>
        <w:numPr>
          <w:ilvl w:val="0"/>
          <w:numId w:val="1002"/>
        </w:numPr>
        <w:pStyle w:val="Compact"/>
      </w:pPr>
      <w:r>
        <w:t xml:space="preserve">Evidence construction and epistemic method</w:t>
      </w:r>
    </w:p>
    <w:p>
      <w:pPr>
        <w:numPr>
          <w:ilvl w:val="0"/>
          <w:numId w:val="1002"/>
        </w:numPr>
        <w:pStyle w:val="Compact"/>
      </w:pPr>
      <w:r>
        <w:t xml:space="preserve">NAD+ as a redox cofactor and consumed substrate</w:t>
      </w:r>
    </w:p>
    <w:p>
      <w:pPr>
        <w:numPr>
          <w:ilvl w:val="0"/>
          <w:numId w:val="1002"/>
        </w:numPr>
        <w:pStyle w:val="Compact"/>
      </w:pPr>
      <w:r>
        <w:t xml:space="preserve">Biosynthetic routes and salvage architecture</w:t>
      </w:r>
    </w:p>
    <w:p>
      <w:pPr>
        <w:numPr>
          <w:ilvl w:val="0"/>
          <w:numId w:val="1002"/>
        </w:numPr>
        <w:pStyle w:val="Compact"/>
      </w:pPr>
      <w:r>
        <w:t xml:space="preserve">Cellular compartmentation</w:t>
      </w:r>
    </w:p>
    <w:p>
      <w:pPr>
        <w:numPr>
          <w:ilvl w:val="0"/>
          <w:numId w:val="1002"/>
        </w:numPr>
        <w:pStyle w:val="Compact"/>
      </w:pPr>
      <w:r>
        <w:t xml:space="preserve">Metrology and biomarker interpretation</w:t>
      </w:r>
    </w:p>
    <w:p>
      <w:pPr>
        <w:numPr>
          <w:ilvl w:val="0"/>
          <w:numId w:val="1002"/>
        </w:numPr>
        <w:pStyle w:val="Compact"/>
      </w:pPr>
      <w:r>
        <w:t xml:space="preserve">Aging and active NAD drain</w:t>
      </w:r>
    </w:p>
    <w:p>
      <w:pPr>
        <w:numPr>
          <w:ilvl w:val="0"/>
          <w:numId w:val="1002"/>
        </w:numPr>
        <w:pStyle w:val="Compact"/>
      </w:pPr>
      <w:r>
        <w:t xml:space="preserve">Intravenous NAD+</w:t>
      </w:r>
    </w:p>
    <w:p>
      <w:pPr>
        <w:numPr>
          <w:ilvl w:val="0"/>
          <w:numId w:val="1002"/>
        </w:numPr>
        <w:pStyle w:val="Compact"/>
      </w:pPr>
      <w:r>
        <w:t xml:space="preserve">Oral NR and NMN</w:t>
      </w:r>
    </w:p>
    <w:p>
      <w:pPr>
        <w:numPr>
          <w:ilvl w:val="0"/>
          <w:numId w:val="1002"/>
        </w:numPr>
        <w:pStyle w:val="Compact"/>
      </w:pPr>
      <w:r>
        <w:t xml:space="preserve">One-carbon metabolism and conditional TMG</w:t>
      </w:r>
    </w:p>
    <w:p>
      <w:pPr>
        <w:numPr>
          <w:ilvl w:val="0"/>
          <w:numId w:val="1002"/>
        </w:numPr>
        <w:pStyle w:val="Compact"/>
      </w:pPr>
      <w:r>
        <w:t xml:space="preserve">The NAD-5D clinical reasoning model</w:t>
      </w:r>
    </w:p>
    <w:p>
      <w:pPr>
        <w:numPr>
          <w:ilvl w:val="0"/>
          <w:numId w:val="1002"/>
        </w:numPr>
        <w:pStyle w:val="Compact"/>
      </w:pPr>
      <w:r>
        <w:t xml:space="preserve">Clinical phenotypes and testable hypotheses</w:t>
      </w:r>
    </w:p>
    <w:p>
      <w:pPr>
        <w:numPr>
          <w:ilvl w:val="0"/>
          <w:numId w:val="1002"/>
        </w:numPr>
        <w:pStyle w:val="Compact"/>
      </w:pPr>
      <w:r>
        <w:t xml:space="preserve">Oncology</w:t>
      </w:r>
    </w:p>
    <w:p>
      <w:pPr>
        <w:numPr>
          <w:ilvl w:val="0"/>
          <w:numId w:val="1002"/>
        </w:numPr>
        <w:pStyle w:val="Compact"/>
      </w:pPr>
      <w:r>
        <w:t xml:space="preserve">Compounded preparation quality</w:t>
      </w:r>
    </w:p>
    <w:p>
      <w:pPr>
        <w:numPr>
          <w:ilvl w:val="0"/>
          <w:numId w:val="1002"/>
        </w:numPr>
        <w:pStyle w:val="Compact"/>
      </w:pPr>
      <w:r>
        <w:t xml:space="preserve">Measurement and longitudinal falsification</w:t>
      </w:r>
    </w:p>
    <w:p>
      <w:pPr>
        <w:numPr>
          <w:ilvl w:val="0"/>
          <w:numId w:val="1002"/>
        </w:numPr>
        <w:pStyle w:val="Compact"/>
      </w:pPr>
      <w:r>
        <w:t xml:space="preserve">Prospective clinical intelligence protocol</w:t>
      </w:r>
    </w:p>
    <w:p>
      <w:pPr>
        <w:numPr>
          <w:ilvl w:val="0"/>
          <w:numId w:val="1002"/>
        </w:numPr>
        <w:pStyle w:val="Compact"/>
      </w:pPr>
      <w:r>
        <w:t xml:space="preserve">Human evidence atlas</w:t>
      </w:r>
    </w:p>
    <w:p>
      <w:pPr>
        <w:numPr>
          <w:ilvl w:val="0"/>
          <w:numId w:val="1002"/>
        </w:numPr>
        <w:pStyle w:val="Compact"/>
      </w:pPr>
      <w:r>
        <w:t xml:space="preserve">Claim–evidence–counterevidence matrix</w:t>
      </w:r>
    </w:p>
    <w:p>
      <w:pPr>
        <w:numPr>
          <w:ilvl w:val="0"/>
          <w:numId w:val="1002"/>
        </w:numPr>
        <w:pStyle w:val="Compact"/>
      </w:pPr>
      <w:r>
        <w:t xml:space="preserve">Discussion</w:t>
      </w:r>
    </w:p>
    <w:p>
      <w:pPr>
        <w:numPr>
          <w:ilvl w:val="0"/>
          <w:numId w:val="1002"/>
        </w:numPr>
        <w:pStyle w:val="Compact"/>
      </w:pPr>
      <w:r>
        <w:t xml:space="preserve">Conclusions</w:t>
      </w:r>
    </w:p>
    <w:p>
      <w:pPr>
        <w:numPr>
          <w:ilvl w:val="0"/>
          <w:numId w:val="1002"/>
        </w:numPr>
        <w:pStyle w:val="Compact"/>
      </w:pPr>
      <w:r>
        <w:t xml:space="preserve">Authorship, declarations and verification</w:t>
      </w:r>
    </w:p>
    <w:p>
      <w:pPr>
        <w:numPr>
          <w:ilvl w:val="0"/>
          <w:numId w:val="1002"/>
        </w:numPr>
        <w:pStyle w:val="Compact"/>
      </w:pPr>
      <w:r>
        <w:t xml:space="preserve">References</w:t>
      </w:r>
    </w:p>
    <w:bookmarkEnd w:id="22"/>
    <w:bookmarkStart w:id="23" w:name="X4666c8db187a468bd7c4d1efd69e1ca31a62544"/>
    <w:p>
      <w:pPr>
        <w:pStyle w:val="Heading2"/>
      </w:pPr>
      <w:r>
        <w:t xml:space="preserve">1. Purpose and scope</w:t>
      </w:r>
    </w:p>
    <w:p>
      <w:pPr>
        <w:pStyle w:val="FirstParagraph"/>
      </w:pPr>
      <w:r>
        <w:t xml:space="preserve">This is a mechanistic clinical monograph, not a marketing paper and not</w:t>
      </w:r>
      <w:r>
        <w:t xml:space="preserve"> </w:t>
      </w:r>
      <w:r>
        <w:t xml:space="preserve">a conventional efficacy guideline. It addresses four questions:</w:t>
      </w:r>
    </w:p>
    <w:p>
      <w:pPr>
        <w:numPr>
          <w:ilvl w:val="0"/>
          <w:numId w:val="1003"/>
        </w:numPr>
        <w:pStyle w:val="Compact"/>
      </w:pPr>
      <w:r>
        <w:t xml:space="preserve">What is biologically established about NAD+ synthesis, transport,</w:t>
      </w:r>
      <w:r>
        <w:t xml:space="preserve"> </w:t>
      </w:r>
      <w:r>
        <w:t xml:space="preserve">compartmentation and consumption?</w:t>
      </w:r>
    </w:p>
    <w:p>
      <w:pPr>
        <w:numPr>
          <w:ilvl w:val="0"/>
          <w:numId w:val="1003"/>
        </w:numPr>
        <w:pStyle w:val="Compact"/>
      </w:pPr>
      <w:r>
        <w:t xml:space="preserve">What does each route of administration actually expose the organism</w:t>
      </w:r>
      <w:r>
        <w:t xml:space="preserve"> </w:t>
      </w:r>
      <w:r>
        <w:t xml:space="preserve">to?</w:t>
      </w:r>
    </w:p>
    <w:p>
      <w:pPr>
        <w:numPr>
          <w:ilvl w:val="0"/>
          <w:numId w:val="1003"/>
        </w:numPr>
        <w:pStyle w:val="Compact"/>
      </w:pPr>
      <w:r>
        <w:t xml:space="preserve">Which human outcomes have been demonstrated, which remain signals,</w:t>
      </w:r>
      <w:r>
        <w:t xml:space="preserve"> </w:t>
      </w:r>
      <w:r>
        <w:t xml:space="preserve">and which are unsupported extrapolations?</w:t>
      </w:r>
    </w:p>
    <w:p>
      <w:pPr>
        <w:numPr>
          <w:ilvl w:val="0"/>
          <w:numId w:val="1003"/>
        </w:numPr>
        <w:pStyle w:val="Compact"/>
      </w:pPr>
      <w:r>
        <w:t xml:space="preserve">How should a clinician determine whether an NAD-directed strategy is</w:t>
      </w:r>
      <w:r>
        <w:t xml:space="preserve"> </w:t>
      </w:r>
      <w:r>
        <w:t xml:space="preserve">coherent for a particular patient and whether it is working?</w:t>
      </w:r>
    </w:p>
    <w:p>
      <w:pPr>
        <w:pStyle w:val="FirstParagraph"/>
      </w:pPr>
      <w:r>
        <w:t xml:space="preserve">The monograph covers intravenous NAD+, oral NMN, oral NR and conditional</w:t>
      </w:r>
      <w:r>
        <w:t xml:space="preserve"> </w:t>
      </w:r>
      <w:r>
        <w:t xml:space="preserve">methyl-donor support. It does not treat all vitamin B3 derivatives as</w:t>
      </w:r>
      <w:r>
        <w:t xml:space="preserve"> </w:t>
      </w:r>
      <w:r>
        <w:t xml:space="preserve">interchangeable. Nicotinic acid, nicotinamide, NR, NMN, NADH and NAD+</w:t>
      </w:r>
      <w:r>
        <w:t xml:space="preserve"> </w:t>
      </w:r>
      <w:r>
        <w:t xml:space="preserve">enter the network through different enzymes, generate different</w:t>
      </w:r>
      <w:r>
        <w:t xml:space="preserve"> </w:t>
      </w:r>
      <w:r>
        <w:t xml:space="preserve">metabolites and have different tolerability and evidence profiles.</w:t>
      </w:r>
    </w:p>
    <w:p>
      <w:pPr>
        <w:pStyle w:val="BodyText"/>
      </w:pPr>
      <w:r>
        <w:t xml:space="preserve">The manuscript deliberately separates three questions that are often</w:t>
      </w:r>
      <w:r>
        <w:t xml:space="preserve"> </w:t>
      </w:r>
      <w:r>
        <w:t xml:space="preserve">collapsed:</w:t>
      </w:r>
    </w:p>
    <w:p>
      <w:pPr>
        <w:numPr>
          <w:ilvl w:val="0"/>
          <w:numId w:val="1004"/>
        </w:numPr>
        <w:pStyle w:val="Compact"/>
      </w:pPr>
      <w:r>
        <w:rPr>
          <w:bCs/>
          <w:b/>
        </w:rPr>
        <w:t xml:space="preserve">Can the molecule or precursor alter the NAD metabolome?</w:t>
      </w:r>
    </w:p>
    <w:p>
      <w:pPr>
        <w:numPr>
          <w:ilvl w:val="0"/>
          <w:numId w:val="1004"/>
        </w:numPr>
        <w:pStyle w:val="Compact"/>
      </w:pPr>
      <w:r>
        <w:rPr>
          <w:bCs/>
          <w:b/>
        </w:rPr>
        <w:t xml:space="preserve">Does that alteration engage the intended tissue and mechanism?</w:t>
      </w:r>
    </w:p>
    <w:p>
      <w:pPr>
        <w:numPr>
          <w:ilvl w:val="0"/>
          <w:numId w:val="1004"/>
        </w:numPr>
        <w:pStyle w:val="Compact"/>
      </w:pPr>
      <w:r>
        <w:rPr>
          <w:bCs/>
          <w:b/>
        </w:rPr>
        <w:t xml:space="preserve">Does the engagement produce a meaningful, durable clinical effect?</w:t>
      </w:r>
    </w:p>
    <w:p>
      <w:pPr>
        <w:pStyle w:val="FirstParagraph"/>
      </w:pPr>
      <w:r>
        <w:t xml:space="preserve">An affirmative answer at one level does not decide the next.</w:t>
      </w:r>
    </w:p>
    <w:bookmarkEnd w:id="23"/>
    <w:bookmarkStart w:id="31" w:name="X0f86af7358f3630b47a053b9744a6db480777e2"/>
    <w:p>
      <w:pPr>
        <w:pStyle w:val="Heading2"/>
      </w:pPr>
      <w:r>
        <w:t xml:space="preserve">2. Evidence construction and epistemic method</w:t>
      </w:r>
    </w:p>
    <w:bookmarkStart w:id="24" w:name="Xb4bcae2beea3a9dc77a28d7f758a8b7d4095ddd"/>
    <w:p>
      <w:pPr>
        <w:pStyle w:val="Heading3"/>
      </w:pPr>
      <w:r>
        <w:t xml:space="preserve">2.1 Evidence sources</w:t>
      </w:r>
    </w:p>
    <w:p>
      <w:pPr>
        <w:pStyle w:val="FirstParagraph"/>
      </w:pPr>
      <w:r>
        <w:t xml:space="preserve">The evidence base was constructed from:</w:t>
      </w:r>
    </w:p>
    <w:p>
      <w:pPr>
        <w:numPr>
          <w:ilvl w:val="0"/>
          <w:numId w:val="1005"/>
        </w:numPr>
        <w:pStyle w:val="Compact"/>
      </w:pPr>
      <w:r>
        <w:t xml:space="preserve">targeted PubMed/MEDLINE searches through 12 August 2026;</w:t>
      </w:r>
    </w:p>
    <w:p>
      <w:pPr>
        <w:numPr>
          <w:ilvl w:val="0"/>
          <w:numId w:val="1005"/>
        </w:numPr>
        <w:pStyle w:val="Compact"/>
      </w:pPr>
      <w:r>
        <w:t xml:space="preserve">primary biochemical and transport studies;</w:t>
      </w:r>
    </w:p>
    <w:p>
      <w:pPr>
        <w:numPr>
          <w:ilvl w:val="0"/>
          <w:numId w:val="1005"/>
        </w:numPr>
        <w:pStyle w:val="Compact"/>
      </w:pPr>
      <w:r>
        <w:t xml:space="preserve">randomized and controlled human trials of NR and NMN;</w:t>
      </w:r>
    </w:p>
    <w:p>
      <w:pPr>
        <w:numPr>
          <w:ilvl w:val="0"/>
          <w:numId w:val="1005"/>
        </w:numPr>
        <w:pStyle w:val="Compact"/>
      </w:pPr>
      <w:r>
        <w:t xml:space="preserve">human pharmacokinetic, metabolomic and tolerability studies of</w:t>
      </w:r>
      <w:r>
        <w:t xml:space="preserve"> </w:t>
      </w:r>
      <w:r>
        <w:t xml:space="preserve">intravenous NAD-related compounds;</w:t>
      </w:r>
    </w:p>
    <w:p>
      <w:pPr>
        <w:numPr>
          <w:ilvl w:val="0"/>
          <w:numId w:val="1005"/>
        </w:numPr>
        <w:pStyle w:val="Compact"/>
      </w:pPr>
      <w:r>
        <w:t xml:space="preserve">systematic reviews used to map the human trial landscape and identify</w:t>
      </w:r>
      <w:r>
        <w:t xml:space="preserve"> </w:t>
      </w:r>
      <w:r>
        <w:t xml:space="preserve">discordant results;</w:t>
      </w:r>
    </w:p>
    <w:p>
      <w:pPr>
        <w:numPr>
          <w:ilvl w:val="0"/>
          <w:numId w:val="1005"/>
        </w:numPr>
        <w:pStyle w:val="Compact"/>
      </w:pPr>
      <w:r>
        <w:t xml:space="preserve">the Clinic Terrain internal scientific corpus concerning mitochondria,</w:t>
      </w:r>
      <w:r>
        <w:t xml:space="preserve"> </w:t>
      </w:r>
      <w:r>
        <w:t xml:space="preserve">redox biology, methylation, metabolic terrain, oncology and IV</w:t>
      </w:r>
      <w:r>
        <w:t xml:space="preserve"> </w:t>
      </w:r>
      <w:r>
        <w:t xml:space="preserve">practice.</w:t>
      </w:r>
    </w:p>
    <w:p>
      <w:pPr>
        <w:pStyle w:val="FirstParagraph"/>
      </w:pPr>
      <w:r>
        <w:t xml:space="preserve">The principal search concept blocks were:</w:t>
      </w:r>
    </w:p>
    <w:p>
      <w:pPr>
        <w:numPr>
          <w:ilvl w:val="0"/>
          <w:numId w:val="1006"/>
        </w:numPr>
        <w:pStyle w:val="Compact"/>
      </w:pPr>
      <w:r>
        <w:rPr>
          <w:rStyle w:val="VerbatimChar"/>
        </w:rPr>
        <w:t xml:space="preserve">NAD metabolism AND compartmentation AND salvage AND NAMPT AND NMNAT</w:t>
      </w:r>
      <w:r>
        <w:t xml:space="preserve">;</w:t>
      </w:r>
    </w:p>
    <w:p>
      <w:pPr>
        <w:numPr>
          <w:ilvl w:val="0"/>
          <w:numId w:val="1006"/>
        </w:numPr>
        <w:pStyle w:val="Compact"/>
      </w:pPr>
      <w:r>
        <w:rPr>
          <w:rStyle w:val="VerbatimChar"/>
        </w:rPr>
        <w:t xml:space="preserve">SLC25A51 AND mitochondrial NAD transport</w:t>
      </w:r>
      <w:r>
        <w:t xml:space="preserve">;</w:t>
      </w:r>
    </w:p>
    <w:p>
      <w:pPr>
        <w:numPr>
          <w:ilvl w:val="0"/>
          <w:numId w:val="1006"/>
        </w:numPr>
        <w:pStyle w:val="Compact"/>
      </w:pPr>
      <w:r>
        <w:rPr>
          <w:rStyle w:val="VerbatimChar"/>
        </w:rPr>
        <w:t xml:space="preserve">CD38 AND NAD decline AND aging AND senescence</w:t>
      </w:r>
      <w:r>
        <w:t xml:space="preserve">;</w:t>
      </w:r>
    </w:p>
    <w:p>
      <w:pPr>
        <w:numPr>
          <w:ilvl w:val="0"/>
          <w:numId w:val="1006"/>
        </w:numPr>
        <w:pStyle w:val="Compact"/>
      </w:pPr>
      <w:r>
        <w:rPr>
          <w:rStyle w:val="VerbatimChar"/>
        </w:rPr>
        <w:t xml:space="preserve">intravenous NAD AND human AND metabolome OR tolerability</w:t>
      </w:r>
      <w:r>
        <w:t xml:space="preserve">;</w:t>
      </w:r>
    </w:p>
    <w:p>
      <w:pPr>
        <w:numPr>
          <w:ilvl w:val="0"/>
          <w:numId w:val="1006"/>
        </w:numPr>
        <w:pStyle w:val="Compact"/>
      </w:pPr>
      <w:r>
        <w:rPr>
          <w:rStyle w:val="VerbatimChar"/>
        </w:rPr>
        <w:t xml:space="preserve">nicotinamide riboside AND randomized controlled trial AND human</w:t>
      </w:r>
      <w:r>
        <w:t xml:space="preserve">;</w:t>
      </w:r>
    </w:p>
    <w:p>
      <w:pPr>
        <w:numPr>
          <w:ilvl w:val="0"/>
          <w:numId w:val="1006"/>
        </w:numPr>
        <w:pStyle w:val="Compact"/>
      </w:pPr>
      <w:r>
        <w:rPr>
          <w:rStyle w:val="VerbatimChar"/>
        </w:rPr>
        <w:t xml:space="preserve">nicotinamide mononucleotide AND randomized controlled trial AND human</w:t>
      </w:r>
      <w:r>
        <w:t xml:space="preserve">;</w:t>
      </w:r>
    </w:p>
    <w:p>
      <w:pPr>
        <w:numPr>
          <w:ilvl w:val="0"/>
          <w:numId w:val="1006"/>
        </w:numPr>
        <w:pStyle w:val="Compact"/>
      </w:pPr>
      <w:r>
        <w:rPr>
          <w:rStyle w:val="VerbatimChar"/>
        </w:rPr>
        <w:t xml:space="preserve">NNMT AND methylation AND SAM AND SAH AND homocysteine</w:t>
      </w:r>
      <w:r>
        <w:t xml:space="preserve">;</w:t>
      </w:r>
    </w:p>
    <w:p>
      <w:pPr>
        <w:numPr>
          <w:ilvl w:val="0"/>
          <w:numId w:val="1006"/>
        </w:numPr>
        <w:pStyle w:val="Compact"/>
      </w:pPr>
      <w:r>
        <w:rPr>
          <w:rStyle w:val="VerbatimChar"/>
        </w:rPr>
        <w:t xml:space="preserve">betaine OR trimethylglycine AND homocysteine AND lipids</w:t>
      </w:r>
      <w:r>
        <w:t xml:space="preserve">;</w:t>
      </w:r>
    </w:p>
    <w:p>
      <w:pPr>
        <w:numPr>
          <w:ilvl w:val="0"/>
          <w:numId w:val="1006"/>
        </w:numPr>
        <w:pStyle w:val="Compact"/>
      </w:pPr>
      <w:r>
        <w:rPr>
          <w:rStyle w:val="VerbatimChar"/>
        </w:rPr>
        <w:t xml:space="preserve">NAD precursor AND cancer AND tumor metabolism OR chemotherapy resistance</w:t>
      </w:r>
      <w:r>
        <w:t xml:space="preserve">.</w:t>
      </w:r>
    </w:p>
    <w:p>
      <w:pPr>
        <w:pStyle w:val="FirstParagraph"/>
      </w:pPr>
      <w:r>
        <w:t xml:space="preserve">This is not presented as a PRISMA systematic review. It is a structured</w:t>
      </w:r>
      <w:r>
        <w:t xml:space="preserve"> </w:t>
      </w:r>
      <w:r>
        <w:t xml:space="preserve">mechanistic monograph. Search reproducibility, evidence cutoff, study</w:t>
      </w:r>
      <w:r>
        <w:t xml:space="preserve"> </w:t>
      </w:r>
      <w:r>
        <w:t xml:space="preserve">type and counter-evidence are nevertheless made explicit so that future</w:t>
      </w:r>
      <w:r>
        <w:t xml:space="preserve"> </w:t>
      </w:r>
      <w:r>
        <w:t xml:space="preserve">updates can be audited.</w:t>
      </w:r>
    </w:p>
    <w:bookmarkEnd w:id="24"/>
    <w:bookmarkStart w:id="25" w:name="X28d1574ccb96e59bdbc3ac4ed970e581d677779"/>
    <w:p>
      <w:pPr>
        <w:pStyle w:val="Heading3"/>
      </w:pPr>
      <w:r>
        <w:t xml:space="preserve">2.1.1 Eligibility and extraction rules</w:t>
      </w:r>
    </w:p>
    <w:p>
      <w:pPr>
        <w:pStyle w:val="FirstParagraph"/>
      </w:pPr>
      <w:r>
        <w:t xml:space="preserve">Primary human trials were prioritized for clinical claims. Primary</w:t>
      </w:r>
      <w:r>
        <w:t xml:space="preserve"> </w:t>
      </w:r>
      <w:r>
        <w:t xml:space="preserve">biochemical, isotope-tracing, genetic and transport studies were</w:t>
      </w:r>
      <w:r>
        <w:t xml:space="preserve"> </w:t>
      </w:r>
      <w:r>
        <w:t xml:space="preserve">prioritized for mechanistic claims. Systematic reviews were used to</w:t>
      </w:r>
      <w:r>
        <w:t xml:space="preserve"> </w:t>
      </w:r>
      <w:r>
        <w:t xml:space="preserve">locate trials, test whether a narrative conclusion survived aggregation</w:t>
      </w:r>
      <w:r>
        <w:t xml:space="preserve"> </w:t>
      </w:r>
      <w:r>
        <w:t xml:space="preserve">and identify discordance; they were not substituted for primary studies</w:t>
      </w:r>
      <w:r>
        <w:t xml:space="preserve"> </w:t>
      </w:r>
      <w:r>
        <w:t xml:space="preserve">when a pivotal trial was available. Animal and cell studies were</w:t>
      </w:r>
      <w:r>
        <w:t xml:space="preserve"> </w:t>
      </w:r>
      <w:r>
        <w:t xml:space="preserve">retained only when they established mechanism, distribution or a safety</w:t>
      </w:r>
      <w:r>
        <w:t xml:space="preserve"> </w:t>
      </w:r>
      <w:r>
        <w:t xml:space="preserve">boundary that could not ethically or practically be defined first in</w:t>
      </w:r>
      <w:r>
        <w:t xml:space="preserve"> </w:t>
      </w:r>
      <w:r>
        <w:t xml:space="preserve">humans.</w:t>
      </w:r>
    </w:p>
    <w:p>
      <w:pPr>
        <w:pStyle w:val="BodyText"/>
      </w:pPr>
      <w:r>
        <w:t xml:space="preserve">For each human study, extraction focused on population, randomized</w:t>
      </w:r>
      <w:r>
        <w:t xml:space="preserve"> </w:t>
      </w:r>
      <w:r>
        <w:t xml:space="preserve">sample, comparator, intervention, duration, prespecified primary</w:t>
      </w:r>
      <w:r>
        <w:t xml:space="preserve"> </w:t>
      </w:r>
      <w:r>
        <w:t xml:space="preserve">outcome, quantitative result, adverse events, attrition, funding and</w:t>
      </w:r>
      <w:r>
        <w:t xml:space="preserve"> </w:t>
      </w:r>
      <w:r>
        <w:t xml:space="preserve">declared conflicts. Secondary and exploratory results are labelled as</w:t>
      </w:r>
      <w:r>
        <w:t xml:space="preserve"> </w:t>
      </w:r>
      <w:r>
        <w:t xml:space="preserve">such. A statistically significant within-group change is not treated as</w:t>
      </w:r>
      <w:r>
        <w:t xml:space="preserve"> </w:t>
      </w:r>
      <w:r>
        <w:t xml:space="preserve">proof of a treatment effect when the relevant between-group comparison</w:t>
      </w:r>
      <w:r>
        <w:t xml:space="preserve"> </w:t>
      </w:r>
      <w:r>
        <w:t xml:space="preserve">is null. A biomarker change is not relabelled as clinical efficacy.</w:t>
      </w:r>
    </w:p>
    <w:bookmarkEnd w:id="25"/>
    <w:bookmarkStart w:id="26" w:name="X688df962d9d46e909aa25482bbac4b19261c0c3"/>
    <w:p>
      <w:pPr>
        <w:pStyle w:val="Heading3"/>
      </w:pPr>
      <w:r>
        <w:t xml:space="preserve">2.1.2 Bias controls</w:t>
      </w:r>
    </w:p>
    <w:p>
      <w:pPr>
        <w:pStyle w:val="FirstParagraph"/>
      </w:pPr>
      <w:r>
        <w:t xml:space="preserve">Five recurring distortions were actively countersearched: baseline</w:t>
      </w:r>
      <w:r>
        <w:t xml:space="preserve"> </w:t>
      </w:r>
      <w:r>
        <w:t xml:space="preserve">imbalance in small trials; multiplicity without correction; sponsor or</w:t>
      </w:r>
      <w:r>
        <w:t xml:space="preserve"> </w:t>
      </w:r>
      <w:r>
        <w:t xml:space="preserve">inventor conflicts; practice and expectancy effects; and selective</w:t>
      </w:r>
      <w:r>
        <w:t xml:space="preserve"> </w:t>
      </w:r>
      <w:r>
        <w:t xml:space="preserve">emphasis on responders or secondary endpoints. Null trials were</w:t>
      </w:r>
      <w:r>
        <w:t xml:space="preserve"> </w:t>
      </w:r>
      <w:r>
        <w:t xml:space="preserve">intentionally retained. This is essential in a field where target</w:t>
      </w:r>
      <w:r>
        <w:t xml:space="preserve"> </w:t>
      </w:r>
      <w:r>
        <w:t xml:space="preserve">engagement is common, sample sizes are small and outcome hierarchies can</w:t>
      </w:r>
      <w:r>
        <w:t xml:space="preserve"> </w:t>
      </w:r>
      <w:r>
        <w:t xml:space="preserve">be blurred.</w:t>
      </w:r>
    </w:p>
    <w:bookmarkEnd w:id="26"/>
    <w:bookmarkStart w:id="27" w:name="X118ea700966a7c0d066acdb712871a0dbbe6489"/>
    <w:p>
      <w:pPr>
        <w:pStyle w:val="Heading3"/>
      </w:pPr>
      <w:r>
        <w:t xml:space="preserve">2.1.3 Evidence domains</w:t>
      </w:r>
    </w:p>
    <w:p>
      <w:pPr>
        <w:pStyle w:val="FirstParagraph"/>
      </w:pPr>
      <w:r>
        <w:t xml:space="preserve">The monograph integrates evidence by domain rather than allowing one</w:t>
      </w:r>
      <w:r>
        <w:t xml:space="preserve"> </w:t>
      </w:r>
      <w:r>
        <w:t xml:space="preserve">institution to monopolize truth: chemical identity and stoichiometry;</w:t>
      </w:r>
      <w:r>
        <w:t xml:space="preserve"> </w:t>
      </w:r>
      <w:r>
        <w:t xml:space="preserve">cellular mechanism; human pharmacokinetics and tissue engagement;</w:t>
      </w:r>
      <w:r>
        <w:t xml:space="preserve"> </w:t>
      </w:r>
      <w:r>
        <w:t xml:space="preserve">controlled clinical outcomes; safety and counterevidence; preparation</w:t>
      </w:r>
      <w:r>
        <w:t xml:space="preserve"> </w:t>
      </w:r>
      <w:r>
        <w:t xml:space="preserve">quality; and reproducible longitudinal response. Regulatory status is</w:t>
      </w:r>
      <w:r>
        <w:t xml:space="preserve"> </w:t>
      </w:r>
      <w:r>
        <w:t xml:space="preserve">reported when operationally relevant but is not assigned scientific</w:t>
      </w:r>
      <w:r>
        <w:t xml:space="preserve"> </w:t>
      </w:r>
      <w:r>
        <w:t xml:space="preserve">weight.</w:t>
      </w:r>
    </w:p>
    <w:bookmarkEnd w:id="27"/>
    <w:bookmarkStart w:id="29" w:name="X4a5542fd6e22c0aa70dd6ac7b5363a894f0970d"/>
    <w:p>
      <w:pPr>
        <w:pStyle w:val="Heading3"/>
      </w:pPr>
      <w:r>
        <w:t xml:space="preserve">2.2 Hierarchy of inference</w:t>
      </w:r>
    </w:p>
    <w:p>
      <w:pPr>
        <w:pStyle w:val="FirstParagraph"/>
      </w:pPr>
      <w:r>
        <w:t xml:space="preserve">Clinic Terrain does not equate a regulatory decision with scientific</w:t>
      </w:r>
      <w:r>
        <w:t xml:space="preserve"> </w:t>
      </w:r>
      <w:r>
        <w:t xml:space="preserve">truth. Market authorization, product classification and administrative</w:t>
      </w:r>
      <w:r>
        <w:t xml:space="preserve"> </w:t>
      </w:r>
      <w:r>
        <w:t xml:space="preserve">status are relevant to lawful operations and disclosure, but receive no</w:t>
      </w:r>
      <w:r>
        <w:t xml:space="preserve"> </w:t>
      </w:r>
      <w:r>
        <w:t xml:space="preserve">weight in deciding whether a biochemical mechanism exists.</w:t>
      </w:r>
    </w:p>
    <w:p>
      <w:pPr>
        <w:pStyle w:val="BodyText"/>
      </w:pPr>
      <w:r>
        <w:t xml:space="preserve">The scientific inference hierarchy is instead:</w:t>
      </w:r>
    </w:p>
    <w:p>
      <w:pPr>
        <w:numPr>
          <w:ilvl w:val="0"/>
          <w:numId w:val="1007"/>
        </w:numPr>
        <w:pStyle w:val="Compact"/>
      </w:pPr>
      <w:r>
        <w:rPr>
          <w:bCs/>
          <w:b/>
        </w:rPr>
        <w:t xml:space="preserve">Chemical and biochemical identity:</w:t>
      </w:r>
      <w:r>
        <w:t xml:space="preserve"> </w:t>
      </w:r>
      <w:r>
        <w:t xml:space="preserve">the molecule, reaction,</w:t>
      </w:r>
      <w:r>
        <w:t xml:space="preserve"> </w:t>
      </w:r>
      <w:r>
        <w:t xml:space="preserve">enzyme and stoichiometry are established.</w:t>
      </w:r>
    </w:p>
    <w:p>
      <w:pPr>
        <w:numPr>
          <w:ilvl w:val="0"/>
          <w:numId w:val="1007"/>
        </w:numPr>
        <w:pStyle w:val="Compact"/>
      </w:pPr>
      <w:r>
        <w:rPr>
          <w:bCs/>
          <w:b/>
        </w:rPr>
        <w:t xml:space="preserve">Cellular mechanism:</w:t>
      </w:r>
      <w:r>
        <w:t xml:space="preserve"> </w:t>
      </w:r>
      <w:r>
        <w:t xml:space="preserve">the pathway operates in a defined biological</w:t>
      </w:r>
      <w:r>
        <w:t xml:space="preserve"> </w:t>
      </w:r>
      <w:r>
        <w:t xml:space="preserve">system.</w:t>
      </w:r>
    </w:p>
    <w:p>
      <w:pPr>
        <w:numPr>
          <w:ilvl w:val="0"/>
          <w:numId w:val="1007"/>
        </w:numPr>
        <w:pStyle w:val="Compact"/>
      </w:pPr>
      <w:r>
        <w:rPr>
          <w:bCs/>
          <w:b/>
        </w:rPr>
        <w:t xml:space="preserve">Distribution and target engagement:</w:t>
      </w:r>
      <w:r>
        <w:t xml:space="preserve"> </w:t>
      </w:r>
      <w:r>
        <w:t xml:space="preserve">the administered</w:t>
      </w:r>
      <w:r>
        <w:t xml:space="preserve"> </w:t>
      </w:r>
      <w:r>
        <w:t xml:space="preserve">intervention reaches or alters the relevant compartment or a</w:t>
      </w:r>
      <w:r>
        <w:t xml:space="preserve"> </w:t>
      </w:r>
      <w:r>
        <w:t xml:space="preserve">defensible proxy.</w:t>
      </w:r>
    </w:p>
    <w:p>
      <w:pPr>
        <w:numPr>
          <w:ilvl w:val="0"/>
          <w:numId w:val="1007"/>
        </w:numPr>
        <w:pStyle w:val="Compact"/>
      </w:pPr>
      <w:r>
        <w:rPr>
          <w:bCs/>
          <w:b/>
        </w:rPr>
        <w:t xml:space="preserve">Functional biological response:</w:t>
      </w:r>
      <w:r>
        <w:t xml:space="preserve"> </w:t>
      </w:r>
      <w:r>
        <w:t xml:space="preserve">metabolism, signaling or</w:t>
      </w:r>
      <w:r>
        <w:t xml:space="preserve"> </w:t>
      </w:r>
      <w:r>
        <w:t xml:space="preserve">physiology changes in the predicted direction.</w:t>
      </w:r>
    </w:p>
    <w:p>
      <w:pPr>
        <w:numPr>
          <w:ilvl w:val="0"/>
          <w:numId w:val="1007"/>
        </w:numPr>
        <w:pStyle w:val="Compact"/>
      </w:pPr>
      <w:r>
        <w:rPr>
          <w:bCs/>
          <w:b/>
        </w:rPr>
        <w:t xml:space="preserve">Patient-relevant outcome:</w:t>
      </w:r>
      <w:r>
        <w:t xml:space="preserve"> </w:t>
      </w:r>
      <w:r>
        <w:t xml:space="preserve">symptoms, performance, disease</w:t>
      </w:r>
      <w:r>
        <w:t xml:space="preserve"> </w:t>
      </w:r>
      <w:r>
        <w:t xml:space="preserve">measures or quality of life improve meaningfully.</w:t>
      </w:r>
    </w:p>
    <w:p>
      <w:pPr>
        <w:numPr>
          <w:ilvl w:val="0"/>
          <w:numId w:val="1007"/>
        </w:numPr>
        <w:pStyle w:val="Compact"/>
      </w:pPr>
      <w:r>
        <w:rPr>
          <w:bCs/>
          <w:b/>
        </w:rPr>
        <w:t xml:space="preserve">Durability and reproducibility:</w:t>
      </w:r>
      <w:r>
        <w:t xml:space="preserve"> </w:t>
      </w:r>
      <w:r>
        <w:t xml:space="preserve">the effect persists, recurs on</w:t>
      </w:r>
      <w:r>
        <w:t xml:space="preserve"> </w:t>
      </w:r>
      <w:r>
        <w:t xml:space="preserve">rechallenge or generalizes beyond a narrow cohort.</w:t>
      </w:r>
    </w:p>
    <w:p>
      <w:pPr>
        <w:pStyle w:val="FirstParagraph"/>
      </w:pPr>
      <w:r>
        <w:t xml:space="preserve">The lower levels are not dismissed merely because a large outcome trial</w:t>
      </w:r>
      <w:r>
        <w:t xml:space="preserve"> </w:t>
      </w:r>
      <w:r>
        <w:t xml:space="preserve">is absent. The higher levels are not assumed merely because the lower</w:t>
      </w:r>
      <w:r>
        <w:t xml:space="preserve"> </w:t>
      </w:r>
      <w:r>
        <w:t xml:space="preserve">levels are compelling.</w:t>
      </w:r>
    </w:p>
    <w:bookmarkStart w:id="28" w:name="X07ba552942629e333b5e4754ee61a9493f332ac"/>
    <w:p>
      <w:pPr>
        <w:pStyle w:val="Heading4"/>
      </w:pPr>
      <w:r>
        <w:t xml:space="preserve">2.2.1 Independent clinical-validation axis</w:t>
      </w:r>
    </w:p>
    <w:p>
      <w:pPr>
        <w:pStyle w:val="FirstParagraph"/>
      </w:pPr>
      <w:r>
        <w:t xml:space="preserve">Causal depth and clinical validation answer different questions and are</w:t>
      </w:r>
      <w:r>
        <w:t xml:space="preserve"> </w:t>
      </w:r>
      <w:r>
        <w:t xml:space="preserve">therefore reported independently. Causal depth describes identity,</w:t>
      </w:r>
      <w:r>
        <w:t xml:space="preserve"> </w:t>
      </w:r>
      <w:r>
        <w:t xml:space="preserve">mechanism, distribution and biological response. Clinical validation</w:t>
      </w:r>
      <w:r>
        <w:t xml:space="preserve"> </w:t>
      </w:r>
      <w:r>
        <w:t xml:space="preserve">describes the strength of patient-relevant human outcome evidence for</w:t>
      </w:r>
      <w:r>
        <w:t xml:space="preserve"> </w:t>
      </w:r>
      <w:r>
        <w:t xml:space="preserve">the specified intervention, route, population and endpoint. Neither axis</w:t>
      </w:r>
      <w:r>
        <w:t xml:space="preserve"> </w:t>
      </w:r>
      <w:r>
        <w:t xml:space="preserve">substitutes for the other.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Clinical class</w:t>
            </w:r>
          </w:p>
        </w:tc>
        <w:tc>
          <w:tcPr/>
          <w:p>
            <w:pPr>
              <w:pStyle w:val="Compact"/>
              <w:jc w:val="left"/>
            </w:pPr>
            <w:r>
              <w:rPr>
                <w:bCs/>
                <w:b/>
              </w:rPr>
              <w:t xml:space="preserve">Human-outcome evidence</w:t>
            </w:r>
          </w:p>
        </w:tc>
        <w:tc>
          <w:tcPr/>
          <w:p>
            <w:pPr>
              <w:pStyle w:val="Compact"/>
              <w:jc w:val="left"/>
            </w:pPr>
            <w:r>
              <w:rPr>
                <w:bCs/>
                <w:b/>
              </w:rPr>
              <w:t xml:space="preserve">Permitted conclusion</w:t>
            </w:r>
          </w:p>
        </w:tc>
        <w:tc>
          <w:tcPr/>
          <w:p>
            <w:pPr>
              <w:pStyle w:val="Compact"/>
              <w:jc w:val="left"/>
            </w:pPr>
            <w:r>
              <w:rPr>
                <w:bCs/>
                <w:b/>
              </w:rPr>
              <w:t xml:space="preserve">Principal limitation</w:t>
            </w:r>
          </w:p>
        </w:tc>
      </w:tr>
      <w:tr>
        <w:tc>
          <w:tcPr/>
          <w:p>
            <w:pPr>
              <w:pStyle w:val="Compact"/>
              <w:jc w:val="left"/>
            </w:pPr>
            <w:r>
              <w:rPr>
                <w:bCs/>
                <w:b/>
              </w:rPr>
              <w:t xml:space="preserve">A</w:t>
            </w:r>
          </w:p>
        </w:tc>
        <w:tc>
          <w:tcPr/>
          <w:p>
            <w:pPr>
              <w:pStyle w:val="Compact"/>
              <w:jc w:val="left"/>
            </w:pPr>
            <w:r>
              <w:t xml:space="preserve">Replicated, adequately powered controlled human outcomes</w:t>
            </w:r>
          </w:p>
        </w:tc>
        <w:tc>
          <w:tcPr/>
          <w:p>
            <w:pPr>
              <w:pStyle w:val="Compact"/>
              <w:jc w:val="left"/>
            </w:pPr>
            <w:r>
              <w:t xml:space="preserve">Population-, intervention-, route- and indication-specific effect estimate</w:t>
            </w:r>
          </w:p>
        </w:tc>
        <w:tc>
          <w:tcPr/>
          <w:p>
            <w:pPr>
              <w:pStyle w:val="Compact"/>
              <w:jc w:val="left"/>
            </w:pPr>
            <w:r>
              <w:t xml:space="preserve">Does not predict every individual response or establish every mechanism</w:t>
            </w:r>
          </w:p>
        </w:tc>
      </w:tr>
      <w:tr>
        <w:tc>
          <w:tcPr/>
          <w:p>
            <w:pPr>
              <w:pStyle w:val="Compact"/>
              <w:jc w:val="left"/>
            </w:pPr>
            <w:r>
              <w:rPr>
                <w:bCs/>
                <w:b/>
              </w:rPr>
              <w:t xml:space="preserve">B</w:t>
            </w:r>
          </w:p>
        </w:tc>
        <w:tc>
          <w:tcPr/>
          <w:p>
            <w:pPr>
              <w:pStyle w:val="Compact"/>
              <w:jc w:val="left"/>
            </w:pPr>
            <w:r>
              <w:t xml:space="preserve">Controlled human study or convergent trials with material limitations</w:t>
            </w:r>
          </w:p>
        </w:tc>
        <w:tc>
          <w:tcPr/>
          <w:p>
            <w:pPr>
              <w:pStyle w:val="Compact"/>
              <w:jc w:val="left"/>
            </w:pPr>
            <w:r>
              <w:t xml:space="preserve">Human outcome signal or robust target engagement</w:t>
            </w:r>
          </w:p>
        </w:tc>
        <w:tc>
          <w:tcPr/>
          <w:p>
            <w:pPr>
              <w:pStyle w:val="Compact"/>
              <w:jc w:val="left"/>
            </w:pPr>
            <w:r>
              <w:t xml:space="preserve">Power, duration, endpoint, comparator or replication may be limited</w:t>
            </w:r>
          </w:p>
        </w:tc>
      </w:tr>
      <w:tr>
        <w:tc>
          <w:tcPr/>
          <w:p>
            <w:pPr>
              <w:pStyle w:val="Compact"/>
              <w:jc w:val="left"/>
            </w:pPr>
            <w:r>
              <w:rPr>
                <w:bCs/>
                <w:b/>
              </w:rPr>
              <w:t xml:space="preserve">C</w:t>
            </w:r>
          </w:p>
        </w:tc>
        <w:tc>
          <w:tcPr/>
          <w:p>
            <w:pPr>
              <w:pStyle w:val="Compact"/>
              <w:jc w:val="left"/>
            </w:pPr>
            <w:r>
              <w:t xml:space="preserve">Uncontrolled human observation or small physiology study</w:t>
            </w:r>
          </w:p>
        </w:tc>
        <w:tc>
          <w:tcPr/>
          <w:p>
            <w:pPr>
              <w:pStyle w:val="Compact"/>
              <w:jc w:val="left"/>
            </w:pPr>
            <w:r>
              <w:t xml:space="preserve">Feasibility, heterogeneity, safety signal or hypothesis</w:t>
            </w:r>
          </w:p>
        </w:tc>
        <w:tc>
          <w:tcPr/>
          <w:p>
            <w:pPr>
              <w:pStyle w:val="Compact"/>
              <w:jc w:val="left"/>
            </w:pPr>
            <w:r>
              <w:t xml:space="preserve">Cannot isolate treatment effect reliably</w:t>
            </w:r>
          </w:p>
        </w:tc>
      </w:tr>
      <w:tr>
        <w:tc>
          <w:tcPr/>
          <w:p>
            <w:pPr>
              <w:pStyle w:val="Compact"/>
              <w:jc w:val="left"/>
            </w:pPr>
            <w:r>
              <w:rPr>
                <w:bCs/>
                <w:b/>
              </w:rPr>
              <w:t xml:space="preserve">D</w:t>
            </w:r>
          </w:p>
        </w:tc>
        <w:tc>
          <w:tcPr/>
          <w:p>
            <w:pPr>
              <w:pStyle w:val="Compact"/>
              <w:jc w:val="left"/>
            </w:pPr>
            <w:r>
              <w:t xml:space="preserve">No direct therapeutic outcome; human endogenous association or adjacent exposure only</w:t>
            </w:r>
          </w:p>
        </w:tc>
        <w:tc>
          <w:tcPr/>
          <w:p>
            <w:pPr>
              <w:pStyle w:val="Compact"/>
              <w:jc w:val="left"/>
            </w:pPr>
            <w:r>
              <w:t xml:space="preserve">Human contextual relevance</w:t>
            </w:r>
          </w:p>
        </w:tc>
        <w:tc>
          <w:tcPr/>
          <w:p>
            <w:pPr>
              <w:pStyle w:val="Compact"/>
              <w:jc w:val="left"/>
            </w:pPr>
            <w:r>
              <w:t xml:space="preserve">Exogenous treatment effect remains untested</w:t>
            </w:r>
          </w:p>
        </w:tc>
      </w:tr>
      <w:tr>
        <w:tc>
          <w:tcPr/>
          <w:p>
            <w:pPr>
              <w:pStyle w:val="Compact"/>
              <w:jc w:val="left"/>
            </w:pPr>
            <w:r>
              <w:rPr>
                <w:bCs/>
                <w:b/>
              </w:rPr>
              <w:t xml:space="preserve">E</w:t>
            </w:r>
          </w:p>
        </w:tc>
        <w:tc>
          <w:tcPr/>
          <w:p>
            <w:pPr>
              <w:pStyle w:val="Compact"/>
              <w:jc w:val="left"/>
            </w:pPr>
            <w:r>
              <w:t xml:space="preserve">No adequate human exposure or outcome evidence for the exact intervention and route</w:t>
            </w:r>
          </w:p>
        </w:tc>
        <w:tc>
          <w:tcPr/>
          <w:p>
            <w:pPr>
              <w:pStyle w:val="Compact"/>
              <w:jc w:val="left"/>
            </w:pPr>
            <w:r>
              <w:t xml:space="preserve">Research proposition only</w:t>
            </w:r>
          </w:p>
        </w:tc>
        <w:tc>
          <w:tcPr/>
          <w:p>
            <w:pPr>
              <w:pStyle w:val="Compact"/>
              <w:jc w:val="left"/>
            </w:pPr>
            <w:r>
              <w:t xml:space="preserve">Identity-, route- or model-adjacent evidence cannot fill the gap</w:t>
            </w:r>
          </w:p>
        </w:tc>
      </w:tr>
    </w:tbl>
    <w:p>
      <w:pPr>
        <w:pStyle w:val="BodyText"/>
      </w:pPr>
      <w:r>
        <w:t xml:space="preserve">A strong biochemical mechanism can coexist with Class D or E clinical</w:t>
      </w:r>
      <w:r>
        <w:t xml:space="preserve"> </w:t>
      </w:r>
      <w:r>
        <w:t xml:space="preserve">validation. Conversely, a controlled clinical result cannot repair a</w:t>
      </w:r>
      <w:r>
        <w:t xml:space="preserve"> </w:t>
      </w:r>
      <w:r>
        <w:t xml:space="preserve">failure of molecular identity, exposure or route correspondence. This</w:t>
      </w:r>
      <w:r>
        <w:t xml:space="preserve"> </w:t>
      </w:r>
      <w:r>
        <w:t xml:space="preserve">two-axis system is the same epistemic architecture used in the Clinic</w:t>
      </w:r>
      <w:r>
        <w:t xml:space="preserve"> </w:t>
      </w:r>
      <w:r>
        <w:t xml:space="preserve">Terrain peptide monograph; it is applied here to NAD-directed</w:t>
      </w:r>
      <w:r>
        <w:t xml:space="preserve"> </w:t>
      </w:r>
      <w:r>
        <w:t xml:space="preserve">interventions at claim level.</w:t>
      </w:r>
    </w:p>
    <w:bookmarkEnd w:id="28"/>
    <w:bookmarkEnd w:id="29"/>
    <w:bookmarkStart w:id="30" w:name="X520f7c1cf813f9db86ad573ff329adb6d245370"/>
    <w:p>
      <w:pPr>
        <w:pStyle w:val="Heading3"/>
      </w:pPr>
      <w:r>
        <w:t xml:space="preserve">2.3 Confidence language</w:t>
      </w:r>
    </w:p>
    <w:p>
      <w:pPr>
        <w:numPr>
          <w:ilvl w:val="0"/>
          <w:numId w:val="1008"/>
        </w:numPr>
        <w:pStyle w:val="Compact"/>
      </w:pPr>
      <w:r>
        <w:rPr>
          <w:bCs/>
          <w:b/>
        </w:rPr>
        <w:t xml:space="preserve">Established:</w:t>
      </w:r>
      <w:r>
        <w:t xml:space="preserve"> </w:t>
      </w:r>
      <w:r>
        <w:t xml:space="preserve">repeatedly demonstrated with direct measurement and</w:t>
      </w:r>
      <w:r>
        <w:t xml:space="preserve"> </w:t>
      </w:r>
      <w:r>
        <w:t xml:space="preserve">no major contradiction.</w:t>
      </w:r>
    </w:p>
    <w:p>
      <w:pPr>
        <w:numPr>
          <w:ilvl w:val="0"/>
          <w:numId w:val="1008"/>
        </w:numPr>
        <w:pStyle w:val="Compact"/>
      </w:pPr>
      <w:r>
        <w:rPr>
          <w:bCs/>
          <w:b/>
        </w:rPr>
        <w:t xml:space="preserve">Supported:</w:t>
      </w:r>
      <w:r>
        <w:t xml:space="preserve"> </w:t>
      </w:r>
      <w:r>
        <w:t xml:space="preserve">coherent evidence from more than one domain, with</w:t>
      </w:r>
      <w:r>
        <w:t xml:space="preserve"> </w:t>
      </w:r>
      <w:r>
        <w:t xml:space="preserve">residual uncertainty.</w:t>
      </w:r>
    </w:p>
    <w:p>
      <w:pPr>
        <w:numPr>
          <w:ilvl w:val="0"/>
          <w:numId w:val="1008"/>
        </w:numPr>
        <w:pStyle w:val="Compact"/>
      </w:pPr>
      <w:r>
        <w:rPr>
          <w:bCs/>
          <w:b/>
        </w:rPr>
        <w:t xml:space="preserve">Signal:</w:t>
      </w:r>
      <w:r>
        <w:t xml:space="preserve"> </w:t>
      </w:r>
      <w:r>
        <w:t xml:space="preserve">a finding worth testing that is not yet stable enough for</w:t>
      </w:r>
      <w:r>
        <w:t xml:space="preserve"> </w:t>
      </w:r>
      <w:r>
        <w:t xml:space="preserve">a broad conclusion.</w:t>
      </w:r>
    </w:p>
    <w:p>
      <w:pPr>
        <w:numPr>
          <w:ilvl w:val="0"/>
          <w:numId w:val="1008"/>
        </w:numPr>
        <w:pStyle w:val="Compact"/>
      </w:pPr>
      <w:r>
        <w:rPr>
          <w:bCs/>
          <w:b/>
        </w:rPr>
        <w:t xml:space="preserve">Conditional:</w:t>
      </w:r>
      <w:r>
        <w:t xml:space="preserve"> </w:t>
      </w:r>
      <w:r>
        <w:t xml:space="preserve">likely dependent on phenotype, route, dose, tissue or</w:t>
      </w:r>
      <w:r>
        <w:t xml:space="preserve"> </w:t>
      </w:r>
      <w:r>
        <w:t xml:space="preserve">baseline state.</w:t>
      </w:r>
    </w:p>
    <w:p>
      <w:pPr>
        <w:numPr>
          <w:ilvl w:val="0"/>
          <w:numId w:val="1008"/>
        </w:numPr>
        <w:pStyle w:val="Compact"/>
      </w:pPr>
      <w:r>
        <w:rPr>
          <w:bCs/>
          <w:b/>
        </w:rPr>
        <w:t xml:space="preserve">Unresolved:</w:t>
      </w:r>
      <w:r>
        <w:t xml:space="preserve"> </w:t>
      </w:r>
      <w:r>
        <w:t xml:space="preserve">evidence is sparse, contradictory or measured with</w:t>
      </w:r>
      <w:r>
        <w:t xml:space="preserve"> </w:t>
      </w:r>
      <w:r>
        <w:t xml:space="preserve">inadequate proxies.</w:t>
      </w:r>
    </w:p>
    <w:p>
      <w:pPr>
        <w:numPr>
          <w:ilvl w:val="0"/>
          <w:numId w:val="1008"/>
        </w:numPr>
        <w:pStyle w:val="Compact"/>
      </w:pPr>
      <w:r>
        <w:rPr>
          <w:bCs/>
          <w:b/>
        </w:rPr>
        <w:t xml:space="preserve">Refuted as a universal claim:</w:t>
      </w:r>
      <w:r>
        <w:t xml:space="preserve"> </w:t>
      </w:r>
      <w:r>
        <w:t xml:space="preserve">evidence directly contradicts a</w:t>
      </w:r>
      <w:r>
        <w:t xml:space="preserve"> </w:t>
      </w:r>
      <w:r>
        <w:t xml:space="preserve">broad formulation, even if narrower contexts remain plausible.</w:t>
      </w:r>
    </w:p>
    <w:bookmarkEnd w:id="30"/>
    <w:bookmarkEnd w:id="31"/>
    <w:bookmarkStart w:id="32" w:name="X7a4f696a05a79fa168a90fe1ce9d20b0bee6010"/>
    <w:p>
      <w:pPr>
        <w:pStyle w:val="Heading2"/>
      </w:pPr>
      <w:r>
        <w:t xml:space="preserve">3. NAD+ as a redox cofactor and consumed substrate</w:t>
      </w:r>
    </w:p>
    <w:p>
      <w:pPr>
        <w:pStyle w:val="FirstParagraph"/>
      </w:pPr>
      <w:r>
        <w:t xml:space="preserve">NAD+ and NADH form a redox couple central to glycolysis, pyruvate</w:t>
      </w:r>
      <w:r>
        <w:t xml:space="preserve"> </w:t>
      </w:r>
      <w:r>
        <w:t xml:space="preserve">oxidation, the tricarboxylic acid cycle, beta-oxidation and oxidative</w:t>
      </w:r>
      <w:r>
        <w:t xml:space="preserve"> </w:t>
      </w:r>
      <w:r>
        <w:t xml:space="preserve">phosphorylation. NAD+ accepts a hydride to become NADH; NADH transfers</w:t>
      </w:r>
      <w:r>
        <w:t xml:space="preserve"> </w:t>
      </w:r>
      <w:r>
        <w:t xml:space="preserve">reducing equivalents toward mitochondrial electron transport or other</w:t>
      </w:r>
      <w:r>
        <w:t xml:space="preserve"> </w:t>
      </w:r>
      <w:r>
        <w:t xml:space="preserve">redox reactions. The total amount of NAD is therefore only one</w:t>
      </w:r>
      <w:r>
        <w:t xml:space="preserve"> </w:t>
      </w:r>
      <w:r>
        <w:t xml:space="preserve">dimension. The NAD+/NADH ratio, flux through the pool and</w:t>
      </w:r>
      <w:r>
        <w:t xml:space="preserve"> </w:t>
      </w:r>
      <w:r>
        <w:t xml:space="preserve">compartment-specific redox state can matter as much as total</w:t>
      </w:r>
      <w:r>
        <w:t xml:space="preserve"> </w:t>
      </w:r>
      <w:r>
        <w:t xml:space="preserve">concentration.</w:t>
      </w:r>
    </w:p>
    <w:p>
      <w:pPr>
        <w:pStyle w:val="BodyText"/>
      </w:pPr>
      <w:r>
        <w:t xml:space="preserve">NAD+ is also irreversibly consumed. Poly(ADP-ribose) polymerases use</w:t>
      </w:r>
      <w:r>
        <w:t xml:space="preserve"> </w:t>
      </w:r>
      <w:r>
        <w:t xml:space="preserve">NAD+ in DNA-damage signaling and repair. Sirtuins cleave NAD+ during</w:t>
      </w:r>
      <w:r>
        <w:t xml:space="preserve"> </w:t>
      </w:r>
      <w:r>
        <w:t xml:space="preserve">deacylation. CD38 and related ectoenzymes metabolize extracellular or</w:t>
      </w:r>
      <w:r>
        <w:t xml:space="preserve"> </w:t>
      </w:r>
      <w:r>
        <w:t xml:space="preserve">membrane-accessible NAD-related substrates. SARM1 can trigger</w:t>
      </w:r>
      <w:r>
        <w:t xml:space="preserve"> </w:t>
      </w:r>
      <w:r>
        <w:t xml:space="preserve">catastrophic NAD depletion in injured axons. These reactions connect NAD</w:t>
      </w:r>
      <w:r>
        <w:t xml:space="preserve"> </w:t>
      </w:r>
      <w:r>
        <w:t xml:space="preserve">availability to genomic maintenance, epigenetic regulation, calcium</w:t>
      </w:r>
      <w:r>
        <w:t xml:space="preserve"> </w:t>
      </w:r>
      <w:r>
        <w:t xml:space="preserve">signaling, immune function and neuronal integrity.</w:t>
      </w:r>
    </w:p>
    <w:p>
      <w:pPr>
        <w:pStyle w:val="BodyText"/>
      </w:pPr>
      <w:r>
        <w:t xml:space="preserve">This dual role creates a central clinical ambiguity. A reduced NAD pool</w:t>
      </w:r>
      <w:r>
        <w:t xml:space="preserve"> </w:t>
      </w:r>
      <w:r>
        <w:t xml:space="preserve">may reflect inadequate synthesis, excessive consumption, redistribution</w:t>
      </w:r>
      <w:r>
        <w:t xml:space="preserve"> </w:t>
      </w:r>
      <w:r>
        <w:t xml:space="preserve">between compartments, altered redox flux or a combination. Increasing</w:t>
      </w:r>
      <w:r>
        <w:t xml:space="preserve"> </w:t>
      </w:r>
      <w:r>
        <w:t xml:space="preserve">precursor supply may correct a supply-limited state but may not resolve</w:t>
      </w:r>
      <w:r>
        <w:t xml:space="preserve"> </w:t>
      </w:r>
      <w:r>
        <w:t xml:space="preserve">an active drain driven by inflammation, DNA damage, immune activation,</w:t>
      </w:r>
      <w:r>
        <w:t xml:space="preserve"> </w:t>
      </w:r>
      <w:r>
        <w:t xml:space="preserve">sleep disruption, alcohol exposure, metabolic overload or another</w:t>
      </w:r>
      <w:r>
        <w:t xml:space="preserve"> </w:t>
      </w:r>
      <w:r>
        <w:t xml:space="preserve">continuing stressor.</w:t>
      </w:r>
    </w:p>
    <w:p>
      <w:pPr>
        <w:pStyle w:val="BodyText"/>
      </w:pPr>
      <w:r>
        <w:rPr>
          <w:bCs/>
          <w:b/>
        </w:rPr>
        <w:t xml:space="preserve">Conclusion:</w:t>
      </w:r>
      <w:r>
        <w:t xml:space="preserve"> </w:t>
      </w:r>
      <w:r>
        <w:t xml:space="preserve">NAD+ is not simply “cellular fuel.” It is a dynamically</w:t>
      </w:r>
      <w:r>
        <w:t xml:space="preserve"> </w:t>
      </w:r>
      <w:r>
        <w:t xml:space="preserve">synthesized, transported, reduced, oxidized and consumed network</w:t>
      </w:r>
      <w:r>
        <w:t xml:space="preserve"> </w:t>
      </w:r>
      <w:r>
        <w:t xml:space="preserve">metabolite. The phrase may be understandable for patient communication,</w:t>
      </w:r>
      <w:r>
        <w:t xml:space="preserve"> </w:t>
      </w:r>
      <w:r>
        <w:t xml:space="preserve">but it is scientifically insufficient for clinical reasoning.</w:t>
      </w:r>
    </w:p>
    <w:bookmarkEnd w:id="32"/>
    <w:bookmarkStart w:id="37" w:name="X535c83374e24da3b39b0878df846564bd94c2b8"/>
    <w:p>
      <w:pPr>
        <w:pStyle w:val="Heading2"/>
      </w:pPr>
      <w:r>
        <w:t xml:space="preserve">4. Biosynthetic routes and salvage architecture</w:t>
      </w:r>
    </w:p>
    <w:p>
      <w:pPr>
        <w:pStyle w:val="FirstParagraph"/>
      </w:pPr>
      <w:r>
        <w:t xml:space="preserve">Human cells maintain NAD through several interconnected routes.</w:t>
      </w:r>
    </w:p>
    <w:bookmarkStart w:id="33" w:name="X86a1f98287937f1e701e04a514f7d277903d8ca"/>
    <w:p>
      <w:pPr>
        <w:pStyle w:val="Heading3"/>
      </w:pPr>
      <w:r>
        <w:t xml:space="preserve">4.1 De novo synthesis</w:t>
      </w:r>
    </w:p>
    <w:p>
      <w:pPr>
        <w:pStyle w:val="FirstParagraph"/>
      </w:pPr>
      <w:r>
        <w:t xml:space="preserve">Tryptophan can enter the kynurenine pathway and ultimately generate</w:t>
      </w:r>
      <w:r>
        <w:t xml:space="preserve"> </w:t>
      </w:r>
      <w:r>
        <w:t xml:space="preserve">quinolinic acid, which is converted through QPRT-dependent steps toward</w:t>
      </w:r>
      <w:r>
        <w:t xml:space="preserve"> </w:t>
      </w:r>
      <w:r>
        <w:t xml:space="preserve">NAD+. This route is metabolically expensive and strongly shaped by liver</w:t>
      </w:r>
      <w:r>
        <w:t xml:space="preserve"> </w:t>
      </w:r>
      <w:r>
        <w:t xml:space="preserve">function, immune signaling, micronutrient availability and competing</w:t>
      </w:r>
      <w:r>
        <w:t xml:space="preserve"> </w:t>
      </w:r>
      <w:r>
        <w:t xml:space="preserve">kynurenine-pathway fates. Increased kynurenine flux therefore does not</w:t>
      </w:r>
      <w:r>
        <w:t xml:space="preserve"> </w:t>
      </w:r>
      <w:r>
        <w:t xml:space="preserve">guarantee increased NAD synthesis.</w:t>
      </w:r>
    </w:p>
    <w:bookmarkEnd w:id="33"/>
    <w:bookmarkStart w:id="34" w:name="X74778b27d44128e7f77e4e05360dcf1c1b056e0"/>
    <w:p>
      <w:pPr>
        <w:pStyle w:val="Heading3"/>
      </w:pPr>
      <w:r>
        <w:t xml:space="preserve">4.2 Preiss–Handler pathway</w:t>
      </w:r>
    </w:p>
    <w:p>
      <w:pPr>
        <w:pStyle w:val="FirstParagraph"/>
      </w:pPr>
      <w:r>
        <w:t xml:space="preserve">Nicotinic acid is converted through NAPRT to nicotinic acid</w:t>
      </w:r>
      <w:r>
        <w:t xml:space="preserve"> </w:t>
      </w:r>
      <w:r>
        <w:t xml:space="preserve">mononucleotide and then toward NAD+. This route differs</w:t>
      </w:r>
      <w:r>
        <w:t xml:space="preserve"> </w:t>
      </w:r>
      <w:r>
        <w:t xml:space="preserve">pharmacologically from amidated precursor pathways and should not be</w:t>
      </w:r>
      <w:r>
        <w:t xml:space="preserve"> </w:t>
      </w:r>
      <w:r>
        <w:t xml:space="preserve">treated as equivalent to NR or NMN.</w:t>
      </w:r>
    </w:p>
    <w:bookmarkEnd w:id="34"/>
    <w:bookmarkStart w:id="35" w:name="X0cb7bfbaf98047de834265ed9889084138b1c81"/>
    <w:p>
      <w:pPr>
        <w:pStyle w:val="Heading3"/>
      </w:pPr>
      <w:r>
        <w:t xml:space="preserve">4.3 Amidated salvage pathway</w:t>
      </w:r>
    </w:p>
    <w:p>
      <w:pPr>
        <w:pStyle w:val="FirstParagraph"/>
      </w:pPr>
      <w:r>
        <w:t xml:space="preserve">Nicotinamide generated by NAD-consuming reactions can be recycled by</w:t>
      </w:r>
      <w:r>
        <w:t xml:space="preserve"> </w:t>
      </w:r>
      <w:r>
        <w:t xml:space="preserve">NAMPT to NMN, then adenylated by NMNAT enzymes to NAD+. This pathway is</w:t>
      </w:r>
      <w:r>
        <w:t xml:space="preserve"> </w:t>
      </w:r>
      <w:r>
        <w:t xml:space="preserve">quantitatively important in many mammalian tissues. It explains why the</w:t>
      </w:r>
      <w:r>
        <w:t xml:space="preserve"> </w:t>
      </w:r>
      <w:r>
        <w:t xml:space="preserve">effectiveness of NAD restoration can depend not only on precursor intake</w:t>
      </w:r>
      <w:r>
        <w:t xml:space="preserve"> </w:t>
      </w:r>
      <w:r>
        <w:t xml:space="preserve">but also on NAMPT activity, ATP availability, tissue-specific enzyme</w:t>
      </w:r>
      <w:r>
        <w:t xml:space="preserve"> </w:t>
      </w:r>
      <w:r>
        <w:t xml:space="preserve">expression and the rate at which nicotinamide is diverted toward</w:t>
      </w:r>
      <w:r>
        <w:t xml:space="preserve"> </w:t>
      </w:r>
      <w:r>
        <w:t xml:space="preserve">methylation and excretion.</w:t>
      </w:r>
    </w:p>
    <w:bookmarkEnd w:id="35"/>
    <w:bookmarkStart w:id="36" w:name="Xbc05250e672edfc2efbcdcf8114b989a8705976"/>
    <w:p>
      <w:pPr>
        <w:pStyle w:val="Heading3"/>
      </w:pPr>
      <w:r>
        <w:t xml:space="preserve">4.4 NR and NMN entry</w:t>
      </w:r>
    </w:p>
    <w:p>
      <w:pPr>
        <w:pStyle w:val="FirstParagraph"/>
      </w:pPr>
      <w:r>
        <w:t xml:space="preserve">NR is phosphorylated by nicotinamide riboside kinases toward NMN. NMN</w:t>
      </w:r>
      <w:r>
        <w:t xml:space="preserve"> </w:t>
      </w:r>
      <w:r>
        <w:t xml:space="preserve">can be dephosphorylated extracellularly to NR before cellular entry in</w:t>
      </w:r>
      <w:r>
        <w:t xml:space="preserve"> </w:t>
      </w:r>
      <w:r>
        <w:t xml:space="preserve">some contexts, while direct transport mechanisms may operate in specific</w:t>
      </w:r>
      <w:r>
        <w:t xml:space="preserve"> </w:t>
      </w:r>
      <w:r>
        <w:t xml:space="preserve">tissues. The relative contribution of intact NMN transport,</w:t>
      </w:r>
      <w:r>
        <w:t xml:space="preserve"> </w:t>
      </w:r>
      <w:r>
        <w:t xml:space="preserve">extracellular conversion and microbiome-mediated transformation remains</w:t>
      </w:r>
      <w:r>
        <w:t xml:space="preserve"> </w:t>
      </w:r>
      <w:r>
        <w:t xml:space="preserve">context-dependent. In mammalian cellular models, NRK1 is rate-limiting</w:t>
      </w:r>
      <w:r>
        <w:t xml:space="preserve"> </w:t>
      </w:r>
      <w:r>
        <w:t xml:space="preserve">for the use of exogenous NR and NMN, and isotope tracing supports</w:t>
      </w:r>
      <w:r>
        <w:t xml:space="preserve"> </w:t>
      </w:r>
      <w:r>
        <w:t xml:space="preserve">extracellular NMN conversion to NR before uptake in those systems</w:t>
      </w:r>
      <w:r>
        <w:t xml:space="preserve"> </w:t>
      </w:r>
      <w:r>
        <w:t xml:space="preserve">[50]. Oral administration therefore cannot be reduced to a single</w:t>
      </w:r>
      <w:r>
        <w:t xml:space="preserve"> </w:t>
      </w:r>
      <w:r>
        <w:t xml:space="preserve">universal absorption pathway.</w:t>
      </w:r>
    </w:p>
    <w:p>
      <w:pPr>
        <w:pStyle w:val="BodyText"/>
      </w:pPr>
      <w:r>
        <w:t xml:space="preserve">The precursor field is not closed around NR and NMN. Trigonelline has</w:t>
      </w:r>
      <w:r>
        <w:t xml:space="preserve"> </w:t>
      </w:r>
      <w:r>
        <w:t xml:space="preserve">been identified as an NAD precursor through isotope tracing and</w:t>
      </w:r>
      <w:r>
        <w:t xml:space="preserve"> </w:t>
      </w:r>
      <w:r>
        <w:t xml:space="preserve">mechanistic models, accompanied by human observational associations with</w:t>
      </w:r>
      <w:r>
        <w:t xml:space="preserve"> </w:t>
      </w:r>
      <w:r>
        <w:t xml:space="preserve">muscle status [57]. This makes it a research candidate, not evidence</w:t>
      </w:r>
      <w:r>
        <w:t xml:space="preserve"> </w:t>
      </w:r>
      <w:r>
        <w:t xml:space="preserve">of clinical equivalence or a current substitute for intervention trials.</w:t>
      </w:r>
    </w:p>
    <w:p>
      <w:pPr>
        <w:pStyle w:val="BodyText"/>
      </w:pPr>
      <w:r>
        <w:rPr>
          <w:bCs/>
          <w:b/>
        </w:rPr>
        <w:t xml:space="preserve">Clinical implication:</w:t>
      </w:r>
      <w:r>
        <w:t xml:space="preserve"> </w:t>
      </w:r>
      <w:r>
        <w:t xml:space="preserve">precursor choice is a pathway decision. It</w:t>
      </w:r>
      <w:r>
        <w:t xml:space="preserve"> </w:t>
      </w:r>
      <w:r>
        <w:t xml:space="preserve">should consider the likely bottleneck rather than assume that the</w:t>
      </w:r>
      <w:r>
        <w:t xml:space="preserve"> </w:t>
      </w:r>
      <w:r>
        <w:t xml:space="preserve">molecule closest to NAD in a pathway diagram is necessarily the</w:t>
      </w:r>
      <w:r>
        <w:t xml:space="preserve"> </w:t>
      </w:r>
      <w:r>
        <w:t xml:space="preserve">best-delivered precursor to every tissue.</w:t>
      </w:r>
    </w:p>
    <w:bookmarkEnd w:id="36"/>
    <w:bookmarkEnd w:id="37"/>
    <w:bookmarkStart w:id="38" w:name="Xb23e868854ab5e16e305df5fdb1733d18aaf99c"/>
    <w:p>
      <w:pPr>
        <w:pStyle w:val="Heading2"/>
      </w:pPr>
      <w:r>
        <w:t xml:space="preserve">5. Cellular compartmentation changes the meaning of “raising NAD”</w:t>
      </w:r>
    </w:p>
    <w:p>
      <w:pPr>
        <w:pStyle w:val="FirstParagraph"/>
      </w:pPr>
      <w:r>
        <w:t xml:space="preserve">NAD pools in cytosol, nucleus and mitochondria are functionally linked</w:t>
      </w:r>
      <w:r>
        <w:t xml:space="preserve"> </w:t>
      </w:r>
      <w:r>
        <w:t xml:space="preserve">but not interchangeable. Nuclear and cytosolic pools can communicate</w:t>
      </w:r>
      <w:r>
        <w:t xml:space="preserve"> </w:t>
      </w:r>
      <w:r>
        <w:t xml:space="preserve">through diffusible intermediates and local synthesis. The inner</w:t>
      </w:r>
      <w:r>
        <w:t xml:space="preserve"> </w:t>
      </w:r>
      <w:r>
        <w:t xml:space="preserve">mitochondrial membrane imposes a distinct transport problem.</w:t>
      </w:r>
    </w:p>
    <w:p>
      <w:pPr>
        <w:pStyle w:val="BodyText"/>
      </w:pPr>
      <w:r>
        <w:t xml:space="preserve">The identification of SLC25A51 as a mammalian mitochondrial NAD</w:t>
      </w:r>
      <w:r>
        <w:t xml:space="preserve"> </w:t>
      </w:r>
      <w:r>
        <w:t xml:space="preserve">transporter established that intact NAD+ can enter mitochondria through</w:t>
      </w:r>
      <w:r>
        <w:t xml:space="preserve"> </w:t>
      </w:r>
      <w:r>
        <w:t xml:space="preserve">a regulated carrier [1,30]. Genetic loss of SLC25A51 depletes</w:t>
      </w:r>
      <w:r>
        <w:t xml:space="preserve"> </w:t>
      </w:r>
      <w:r>
        <w:t xml:space="preserve">mitochondrial NAD, impairs respiratory-chain function and alters ATP</w:t>
      </w:r>
      <w:r>
        <w:t xml:space="preserve"> </w:t>
      </w:r>
      <w:r>
        <w:t xml:space="preserve">production. Conversely, changing SLC25A51 activity can redistribute NAD</w:t>
      </w:r>
      <w:r>
        <w:t xml:space="preserve"> </w:t>
      </w:r>
      <w:r>
        <w:t xml:space="preserve">toward cytosolic and nuclear pools and modify PARP1-dependent DNA repair</w:t>
      </w:r>
      <w:r>
        <w:t xml:space="preserve"> </w:t>
      </w:r>
      <w:r>
        <w:t xml:space="preserve">[2].</w:t>
      </w:r>
    </w:p>
    <w:p>
      <w:pPr>
        <w:pStyle w:val="BodyText"/>
      </w:pPr>
      <w:r>
        <w:t xml:space="preserve">These findings invalidate a common inference: a measured increase in</w:t>
      </w:r>
      <w:r>
        <w:t xml:space="preserve"> </w:t>
      </w:r>
      <w:r>
        <w:t xml:space="preserve">plasma or whole-blood NAD does not establish that mitochondrial NAD</w:t>
      </w:r>
      <w:r>
        <w:t xml:space="preserve"> </w:t>
      </w:r>
      <w:r>
        <w:t xml:space="preserve">increased in the tissue responsible for the patient's symptoms. Blood is</w:t>
      </w:r>
      <w:r>
        <w:t xml:space="preserve"> </w:t>
      </w:r>
      <w:r>
        <w:t xml:space="preserve">a useful accessible compartment, but it is not a universal surrogate for</w:t>
      </w:r>
      <w:r>
        <w:t xml:space="preserve"> </w:t>
      </w:r>
      <w:r>
        <w:t xml:space="preserve">brain, skeletal muscle, liver, immune cells or mitochondrial matrix.</w:t>
      </w:r>
    </w:p>
    <w:p>
      <w:pPr>
        <w:pStyle w:val="BodyText"/>
      </w:pPr>
      <w:r>
        <w:t xml:space="preserve">The same distinction applies to the NAD+/NADH ratio. Total NAD may rise</w:t>
      </w:r>
      <w:r>
        <w:t xml:space="preserve"> </w:t>
      </w:r>
      <w:r>
        <w:t xml:space="preserve">while compartment-specific redox conditions remain constrained by</w:t>
      </w:r>
      <w:r>
        <w:t xml:space="preserve"> </w:t>
      </w:r>
      <w:r>
        <w:t xml:space="preserve">substrate overload, hypoxia, impaired electron transport or insufficient</w:t>
      </w:r>
      <w:r>
        <w:t xml:space="preserve"> </w:t>
      </w:r>
      <w:r>
        <w:t xml:space="preserve">reoxidation of NADH.</w:t>
      </w:r>
    </w:p>
    <w:p>
      <w:pPr>
        <w:pStyle w:val="BodyText"/>
      </w:pPr>
      <w:r>
        <w:rPr>
          <w:bCs/>
          <w:b/>
        </w:rPr>
        <w:t xml:space="preserve">Established:</w:t>
      </w:r>
      <w:r>
        <w:t xml:space="preserve"> </w:t>
      </w:r>
      <w:r>
        <w:t xml:space="preserve">mammalian NAD biology is compartmentalized and SLC25A51</w:t>
      </w:r>
      <w:r>
        <w:t xml:space="preserve"> </w:t>
      </w:r>
      <w:r>
        <w:t xml:space="preserve">is a major mitochondrial NAD transporter.</w:t>
      </w:r>
    </w:p>
    <w:p>
      <w:pPr>
        <w:pStyle w:val="BodyText"/>
      </w:pPr>
      <w:r>
        <w:rPr>
          <w:bCs/>
          <w:b/>
        </w:rPr>
        <w:t xml:space="preserve">Unresolved clinically:</w:t>
      </w:r>
      <w:r>
        <w:t xml:space="preserve"> </w:t>
      </w:r>
      <w:r>
        <w:t xml:space="preserve">the degree to which a particular intravenous</w:t>
      </w:r>
      <w:r>
        <w:t xml:space="preserve"> </w:t>
      </w:r>
      <w:r>
        <w:t xml:space="preserve">or oral intervention changes mitochondrial NAD in a symptomatic human</w:t>
      </w:r>
      <w:r>
        <w:t xml:space="preserve"> </w:t>
      </w:r>
      <w:r>
        <w:t xml:space="preserve">tissue, and whether that change is the causal mediator of clinical</w:t>
      </w:r>
      <w:r>
        <w:t xml:space="preserve"> </w:t>
      </w:r>
      <w:r>
        <w:t xml:space="preserve">benefit.</w:t>
      </w:r>
    </w:p>
    <w:bookmarkEnd w:id="38"/>
    <w:bookmarkStart w:id="44" w:name="X9813d9bd05242af263b2dcec433f98fdf6b9373"/>
    <w:p>
      <w:pPr>
        <w:pStyle w:val="Heading2"/>
      </w:pPr>
      <w:r>
        <w:t xml:space="preserve">6. Metrology and biomarker interpretation</w:t>
      </w:r>
    </w:p>
    <w:bookmarkStart w:id="39" w:name="X90f9114a085a9b07c424c5d5936b64207314ec7"/>
    <w:p>
      <w:pPr>
        <w:pStyle w:val="Heading3"/>
      </w:pPr>
      <w:r>
        <w:t xml:space="preserve">6.1 The analyte is inseparable from its matrix</w:t>
      </w:r>
    </w:p>
    <w:p>
      <w:pPr>
        <w:pStyle w:val="FirstParagraph"/>
      </w:pPr>
      <w:r>
        <w:t xml:space="preserve">“NAD level” is incomplete unless the report identifies the chemical</w:t>
      </w:r>
      <w:r>
        <w:t xml:space="preserve"> </w:t>
      </w:r>
      <w:r>
        <w:t xml:space="preserve">species, biological matrix, cellular fraction, collection method,</w:t>
      </w:r>
      <w:r>
        <w:t xml:space="preserve"> </w:t>
      </w:r>
      <w:r>
        <w:t xml:space="preserve">stabilization interval, extraction procedure and analytical platform.</w:t>
      </w:r>
      <w:r>
        <w:t xml:space="preserve"> </w:t>
      </w:r>
      <w:r>
        <w:t xml:space="preserve">Whole blood is dominated by cellular material, particularly</w:t>
      </w:r>
      <w:r>
        <w:t xml:space="preserve"> </w:t>
      </w:r>
      <w:r>
        <w:t xml:space="preserve">erythrocytes; plasma, serum, PBMCs, skeletal muscle and brain</w:t>
      </w:r>
      <w:r>
        <w:t xml:space="preserve"> </w:t>
      </w:r>
      <w:r>
        <w:t xml:space="preserve">spectroscopy interrogate different biological spaces. Total NAD, NAD+,</w:t>
      </w:r>
      <w:r>
        <w:t xml:space="preserve"> </w:t>
      </w:r>
      <w:r>
        <w:t xml:space="preserve">NADH, NAD+/NADH ratio, NADP(H), NMN, NR, NAAD and methylated disposal</w:t>
      </w:r>
      <w:r>
        <w:t xml:space="preserve"> </w:t>
      </w:r>
      <w:r>
        <w:t xml:space="preserve">products answer different questions.</w:t>
      </w:r>
    </w:p>
    <w:p>
      <w:pPr>
        <w:pStyle w:val="BodyText"/>
      </w:pPr>
      <w:r>
        <w:t xml:space="preserve">NAD metabolites are analytically demanding. Oxidation-reduction can</w:t>
      </w:r>
      <w:r>
        <w:t xml:space="preserve"> </w:t>
      </w:r>
      <w:r>
        <w:t xml:space="preserve">continue after sampling, cellular lysis can redistribute analytes and</w:t>
      </w:r>
      <w:r>
        <w:t xml:space="preserve"> </w:t>
      </w:r>
      <w:r>
        <w:t xml:space="preserve">delays in quenching can create ex-vivo biology. Validated</w:t>
      </w:r>
      <w:r>
        <w:t xml:space="preserve"> </w:t>
      </w:r>
      <w:r>
        <w:t xml:space="preserve">isotope-dilution LC–MS methods improve specificity and recovery, but</w:t>
      </w:r>
      <w:r>
        <w:t xml:space="preserve"> </w:t>
      </w:r>
      <w:r>
        <w:t xml:space="preserve">even technically excellent measurement does not solve tissue mismatch</w:t>
      </w:r>
      <w:r>
        <w:t xml:space="preserve"> </w:t>
      </w:r>
      <w:r>
        <w:t xml:space="preserve">[58,59]. A precise whole-blood value remains a whole-blood value.</w:t>
      </w:r>
    </w:p>
    <w:bookmarkEnd w:id="39"/>
    <w:bookmarkStart w:id="40" w:name="Xa88542698225bbbbe3f46948cca987df9a98c76"/>
    <w:p>
      <w:pPr>
        <w:pStyle w:val="Heading3"/>
      </w:pPr>
      <w:r>
        <w:t xml:space="preserve">6.2 Exposure, state and outcome biomarkers</w:t>
      </w:r>
    </w:p>
    <w:p>
      <w:pPr>
        <w:pStyle w:val="FirstParagraph"/>
      </w:pPr>
      <w:r>
        <w:t xml:space="preserve">Three uses must be distinguished:</w:t>
      </w:r>
    </w:p>
    <w:p>
      <w:pPr>
        <w:numPr>
          <w:ilvl w:val="0"/>
          <w:numId w:val="1009"/>
        </w:numPr>
        <w:pStyle w:val="Compact"/>
      </w:pPr>
      <w:r>
        <w:rPr>
          <w:bCs/>
          <w:b/>
        </w:rPr>
        <w:t xml:space="preserve">Exposure biomarker:</w:t>
      </w:r>
      <w:r>
        <w:t xml:space="preserve"> </w:t>
      </w:r>
      <w:r>
        <w:t xml:space="preserve">demonstrates that an intervention altered an</w:t>
      </w:r>
      <w:r>
        <w:t xml:space="preserve"> </w:t>
      </w:r>
      <w:r>
        <w:t xml:space="preserve">accessible NAD metabolome. Whole-blood NAD and NAAD commonly function</w:t>
      </w:r>
      <w:r>
        <w:t xml:space="preserve"> </w:t>
      </w:r>
      <w:r>
        <w:t xml:space="preserve">at this level after oral NR [49].</w:t>
      </w:r>
    </w:p>
    <w:p>
      <w:pPr>
        <w:numPr>
          <w:ilvl w:val="0"/>
          <w:numId w:val="1009"/>
        </w:numPr>
        <w:pStyle w:val="Compact"/>
      </w:pPr>
      <w:r>
        <w:rPr>
          <w:bCs/>
          <w:b/>
        </w:rPr>
        <w:t xml:space="preserve">State biomarker:</w:t>
      </w:r>
      <w:r>
        <w:t xml:space="preserve"> </w:t>
      </w:r>
      <w:r>
        <w:t xml:space="preserve">estimates a relevant biological condition before</w:t>
      </w:r>
      <w:r>
        <w:t xml:space="preserve"> </w:t>
      </w:r>
      <w:r>
        <w:t xml:space="preserve">treatment. Whole-blood NAD has not been validated as a universal</w:t>
      </w:r>
      <w:r>
        <w:t xml:space="preserve"> </w:t>
      </w:r>
      <w:r>
        <w:t xml:space="preserve">marker of tissue NAD constraint or human biological aging [43].</w:t>
      </w:r>
    </w:p>
    <w:p>
      <w:pPr>
        <w:numPr>
          <w:ilvl w:val="0"/>
          <w:numId w:val="1009"/>
        </w:numPr>
        <w:pStyle w:val="Compact"/>
      </w:pPr>
      <w:r>
        <w:rPr>
          <w:bCs/>
          <w:b/>
        </w:rPr>
        <w:t xml:space="preserve">Outcome biomarker:</w:t>
      </w:r>
      <w:r>
        <w:t xml:space="preserve"> </w:t>
      </w:r>
      <w:r>
        <w:t xml:space="preserve">predicts or mediates a patient-relevant</w:t>
      </w:r>
      <w:r>
        <w:t xml:space="preserve"> </w:t>
      </w:r>
      <w:r>
        <w:t xml:space="preserve">benefit. A rise in circulating NAD has not been validated as a</w:t>
      </w:r>
      <w:r>
        <w:t xml:space="preserve"> </w:t>
      </w:r>
      <w:r>
        <w:t xml:space="preserve">universal surrogate for energy, cognition, physical performance or</w:t>
      </w:r>
      <w:r>
        <w:t xml:space="preserve"> </w:t>
      </w:r>
      <w:r>
        <w:t xml:space="preserve">disease modification.</w:t>
      </w:r>
    </w:p>
    <w:p>
      <w:pPr>
        <w:pStyle w:val="FirstParagraph"/>
      </w:pPr>
      <w:r>
        <w:t xml:space="preserve">Conflating these categories is the central interpretive error in</w:t>
      </w:r>
      <w:r>
        <w:t xml:space="preserve"> </w:t>
      </w:r>
      <w:r>
        <w:t xml:space="preserve">commercial NAD medicine.</w:t>
      </w:r>
    </w:p>
    <w:bookmarkEnd w:id="40"/>
    <w:bookmarkStart w:id="41" w:name="X9affe2260ff00b2b49d6a9b86ca19a08569a9e4"/>
    <w:p>
      <w:pPr>
        <w:pStyle w:val="Heading3"/>
      </w:pPr>
      <w:r>
        <w:t xml:space="preserve">6.3 Whole-blood NAD and aging</w:t>
      </w:r>
    </w:p>
    <w:p>
      <w:pPr>
        <w:pStyle w:val="FirstParagraph"/>
      </w:pPr>
      <w:r>
        <w:t xml:space="preserve">The most rigorous recent counterevidence comes from Trętowicz and</w:t>
      </w:r>
      <w:r>
        <w:t xml:space="preserve"> </w:t>
      </w:r>
      <w:r>
        <w:t xml:space="preserve">colleagues, who used a validated UHPLC–high-resolution MS method across</w:t>
      </w:r>
      <w:r>
        <w:t xml:space="preserve"> </w:t>
      </w:r>
      <w:r>
        <w:t xml:space="preserve">seven independent human cohorts. Whole-blood NAD remained remarkably</w:t>
      </w:r>
      <w:r>
        <w:t xml:space="preserve"> </w:t>
      </w:r>
      <w:r>
        <w:t xml:space="preserve">stable with age and across lifestyle interventions, while rising after</w:t>
      </w:r>
      <w:r>
        <w:t xml:space="preserve"> </w:t>
      </w:r>
      <w:r>
        <w:t xml:space="preserve">NR supplementation as expected [43]. This result simultaneously</w:t>
      </w:r>
      <w:r>
        <w:t xml:space="preserve"> </w:t>
      </w:r>
      <w:r>
        <w:t xml:space="preserve">supports whole-blood NAD as an exposure marker and challenges its use as</w:t>
      </w:r>
      <w:r>
        <w:t xml:space="preserve"> </w:t>
      </w:r>
      <w:r>
        <w:t xml:space="preserve">an aging-state marker.</w:t>
      </w:r>
    </w:p>
    <w:p>
      <w:pPr>
        <w:pStyle w:val="BodyText"/>
      </w:pPr>
      <w:r>
        <w:t xml:space="preserve">Earlier human studies are not simply “wrong”; they measured different</w:t>
      </w:r>
      <w:r>
        <w:t xml:space="preserve"> </w:t>
      </w:r>
      <w:r>
        <w:t xml:space="preserve">cohorts, matrices or tissues. A study of 1,518 participants reported</w:t>
      </w:r>
      <w:r>
        <w:t xml:space="preserve"> </w:t>
      </w:r>
      <w:r>
        <w:t xml:space="preserve">sex-specific whole-blood associations with age, with a clearer decline</w:t>
      </w:r>
      <w:r>
        <w:t xml:space="preserve"> </w:t>
      </w:r>
      <w:r>
        <w:t xml:space="preserve">in men [44]. Human pelvic skin samples showed an age-associated tissue</w:t>
      </w:r>
      <w:r>
        <w:t xml:space="preserve"> </w:t>
      </w:r>
      <w:r>
        <w:t xml:space="preserve">decline linked with oxidative stress and PARP activity [45].</w:t>
      </w:r>
      <w:r>
        <w:t xml:space="preserve"> </w:t>
      </w:r>
      <w:r>
        <w:t xml:space="preserve">Phosphorus-MRS studies indicate age-related differences or physiologic</w:t>
      </w:r>
      <w:r>
        <w:t xml:space="preserve"> </w:t>
      </w:r>
      <w:r>
        <w:t xml:space="preserve">associations in cerebral NAD, but the measurements are small,</w:t>
      </w:r>
      <w:r>
        <w:t xml:space="preserve"> </w:t>
      </w:r>
      <w:r>
        <w:t xml:space="preserve">method-specific and not interchangeable with blood [46]. The</w:t>
      </w:r>
      <w:r>
        <w:t xml:space="preserve"> </w:t>
      </w:r>
      <w:r>
        <w:t xml:space="preserve">scientifically correct synthesis is tissue heterogeneity, not a</w:t>
      </w:r>
      <w:r>
        <w:t xml:space="preserve"> </w:t>
      </w:r>
      <w:r>
        <w:t xml:space="preserve">universal decline curve.</w:t>
      </w:r>
    </w:p>
    <w:bookmarkEnd w:id="41"/>
    <w:bookmarkStart w:id="42" w:name="Xd645357e3bba4695a8d84f0353bdb4f060deb18"/>
    <w:p>
      <w:pPr>
        <w:pStyle w:val="Heading3"/>
      </w:pPr>
      <w:r>
        <w:t xml:space="preserve">6.4 Compartment-resolved measurement</w:t>
      </w:r>
    </w:p>
    <w:p>
      <w:pPr>
        <w:pStyle w:val="FirstParagraph"/>
      </w:pPr>
      <w:r>
        <w:t xml:space="preserve">Genetically encoded biosensors demonstrate that free NAD can be measured</w:t>
      </w:r>
      <w:r>
        <w:t xml:space="preserve"> </w:t>
      </w:r>
      <w:r>
        <w:t xml:space="preserve">separately in nucleus, cytosol and mitochondria and that these pools</w:t>
      </w:r>
      <w:r>
        <w:t xml:space="preserve"> </w:t>
      </w:r>
      <w:r>
        <w:t xml:space="preserve">respond differently [47]. Isotope tracing and perturbation of SLC25A51</w:t>
      </w:r>
      <w:r>
        <w:t xml:space="preserve"> </w:t>
      </w:r>
      <w:r>
        <w:t xml:space="preserve">further show that mitochondrial NAD can buffer or redistribute the wider</w:t>
      </w:r>
      <w:r>
        <w:t xml:space="preserve"> </w:t>
      </w:r>
      <w:r>
        <w:t xml:space="preserve">cellular system [1,2,30,48]. These tools are not routine clinical</w:t>
      </w:r>
      <w:r>
        <w:t xml:space="preserve"> </w:t>
      </w:r>
      <w:r>
        <w:t xml:space="preserve">tests, but they define the inference boundary: systemic measurement</w:t>
      </w:r>
      <w:r>
        <w:t xml:space="preserve"> </w:t>
      </w:r>
      <w:r>
        <w:t xml:space="preserve">cannot by itself identify the symptomatic intracellular compartment.</w:t>
      </w:r>
    </w:p>
    <w:bookmarkEnd w:id="42"/>
    <w:bookmarkStart w:id="43" w:name="X12983535e4213e409abe138ef5062a70e2831d3"/>
    <w:p>
      <w:pPr>
        <w:pStyle w:val="Heading3"/>
      </w:pPr>
      <w:r>
        <w:t xml:space="preserve">6.5 Minimum reporting standard</w:t>
      </w:r>
    </w:p>
    <w:p>
      <w:pPr>
        <w:pStyle w:val="FirstParagraph"/>
      </w:pPr>
      <w:r>
        <w:t xml:space="preserve">Every Clinic Terrain NAD measurement intended for scientific</w:t>
      </w:r>
      <w:r>
        <w:t xml:space="preserve"> </w:t>
      </w:r>
      <w:r>
        <w:t xml:space="preserve">interpretation should record: fasting or fed state; time of day; recent</w:t>
      </w:r>
      <w:r>
        <w:t xml:space="preserve"> </w:t>
      </w:r>
      <w:r>
        <w:t xml:space="preserve">exercise and alcohol; collection tube; time to quench or freezing;</w:t>
      </w:r>
      <w:r>
        <w:t xml:space="preserve"> </w:t>
      </w:r>
      <w:r>
        <w:t xml:space="preserve">storage temperature and freeze–thaw history; matrix and fraction; assay</w:t>
      </w:r>
      <w:r>
        <w:t xml:space="preserve"> </w:t>
      </w:r>
      <w:r>
        <w:t xml:space="preserve">method; internal standards; units; laboratory reference procedure; and</w:t>
      </w:r>
      <w:r>
        <w:t xml:space="preserve"> </w:t>
      </w:r>
      <w:r>
        <w:t xml:space="preserve">relation to last exposure. Serial values should use the same matrix and</w:t>
      </w:r>
      <w:r>
        <w:t xml:space="preserve"> </w:t>
      </w:r>
      <w:r>
        <w:t xml:space="preserve">method whenever possible.</w:t>
      </w:r>
    </w:p>
    <w:p>
      <w:pPr>
        <w:pStyle w:val="BodyText"/>
      </w:pPr>
      <w:r>
        <w:rPr>
          <w:bCs/>
          <w:b/>
        </w:rPr>
        <w:t xml:space="preserve">Metrological conclusion:</w:t>
      </w:r>
      <w:r>
        <w:t xml:space="preserve"> </w:t>
      </w:r>
      <w:r>
        <w:t xml:space="preserve">a blood NAD rise can confirm biochemical</w:t>
      </w:r>
      <w:r>
        <w:t xml:space="preserve"> </w:t>
      </w:r>
      <w:r>
        <w:t xml:space="preserve">exposure. It cannot independently diagnose NAD deficiency, localize the</w:t>
      </w:r>
      <w:r>
        <w:t xml:space="preserve"> </w:t>
      </w:r>
      <w:r>
        <w:t xml:space="preserve">deficit, prove mitochondrial delivery or certify clinical benefit.</w:t>
      </w:r>
    </w:p>
    <w:bookmarkEnd w:id="43"/>
    <w:bookmarkEnd w:id="44"/>
    <w:bookmarkStart w:id="45" w:name="Xe9398440902e0bc742144489bbf654a71a66e09"/>
    <w:p>
      <w:pPr>
        <w:pStyle w:val="Heading2"/>
      </w:pPr>
      <w:r>
        <w:t xml:space="preserve">7. Aging and the problem of the active drain</w:t>
      </w:r>
    </w:p>
    <w:p>
      <w:pPr>
        <w:pStyle w:val="FirstParagraph"/>
      </w:pPr>
      <w:r>
        <w:t xml:space="preserve">Age-associated NAD change is not uniform across every tissue or person,</w:t>
      </w:r>
      <w:r>
        <w:t xml:space="preserve"> </w:t>
      </w:r>
      <w:r>
        <w:t xml:space="preserve">and popular fixed-percentage age charts are not scientifically</w:t>
      </w:r>
      <w:r>
        <w:t xml:space="preserve"> </w:t>
      </w:r>
      <w:r>
        <w:t xml:space="preserve">defensible. The 2026 seven-cohort study found no meaningful age</w:t>
      </w:r>
      <w:r>
        <w:t xml:space="preserve"> </w:t>
      </w:r>
      <w:r>
        <w:t xml:space="preserve">relationship in whole blood [43], while other human studies reported</w:t>
      </w:r>
      <w:r>
        <w:t xml:space="preserve"> </w:t>
      </w:r>
      <w:r>
        <w:t xml:space="preserve">tissue-, sex- or method-dependent associations [44–46]. It is</w:t>
      </w:r>
      <w:r>
        <w:t xml:space="preserve"> </w:t>
      </w:r>
      <w:r>
        <w:t xml:space="preserve">therefore inappropriate to diagnose an age-defined NAD deficit or tell a</w:t>
      </w:r>
      <w:r>
        <w:t xml:space="preserve"> </w:t>
      </w:r>
      <w:r>
        <w:t xml:space="preserve">patient that NAD necessarily falls to a specified percentage at a given</w:t>
      </w:r>
      <w:r>
        <w:t xml:space="preserve"> </w:t>
      </w:r>
      <w:r>
        <w:t xml:space="preserve">age. Aging remains a mechanistic risk context, not a laboratory</w:t>
      </w:r>
      <w:r>
        <w:t xml:space="preserve"> </w:t>
      </w:r>
      <w:r>
        <w:t xml:space="preserve">diagnosis derived from date of birth.</w:t>
      </w:r>
    </w:p>
    <w:p>
      <w:pPr>
        <w:pStyle w:val="BodyText"/>
      </w:pPr>
      <w:r>
        <w:t xml:space="preserve">Mechanistically, however, several drivers are well supported. CD38</w:t>
      </w:r>
      <w:r>
        <w:t xml:space="preserve"> </w:t>
      </w:r>
      <w:r>
        <w:t xml:space="preserve">expression and NADase activity increase in multiple aging models.</w:t>
      </w:r>
      <w:r>
        <w:t xml:space="preserve"> </w:t>
      </w:r>
      <w:r>
        <w:t xml:space="preserve">Senescent-cell secretory factors can induce CD38 in macrophages and</w:t>
      </w:r>
      <w:r>
        <w:t xml:space="preserve"> </w:t>
      </w:r>
      <w:r>
        <w:t xml:space="preserve">other non-senescent cells. In mouse tissue, accumulation of</w:t>
      </w:r>
      <w:r>
        <w:t xml:space="preserve"> </w:t>
      </w:r>
      <w:r>
        <w:t xml:space="preserve">CD38-positive inflammatory cells contributes to age-related NAD decline</w:t>
      </w:r>
      <w:r>
        <w:t xml:space="preserve"> </w:t>
      </w:r>
      <w:r>
        <w:t xml:space="preserve">[3–5]. DNA damage can increase PARP demand. Chronic immune activation</w:t>
      </w:r>
      <w:r>
        <w:t xml:space="preserve"> </w:t>
      </w:r>
      <w:r>
        <w:t xml:space="preserve">may simultaneously increase consumption and redirect tryptophan</w:t>
      </w:r>
      <w:r>
        <w:t xml:space="preserve"> </w:t>
      </w:r>
      <w:r>
        <w:t xml:space="preserve">metabolism. Reduced NAMPT activity, altered circadian regulation,</w:t>
      </w:r>
      <w:r>
        <w:t xml:space="preserve"> </w:t>
      </w:r>
      <w:r>
        <w:t xml:space="preserve">metabolic overload and mitochondrial dysfunction can further constrain</w:t>
      </w:r>
      <w:r>
        <w:t xml:space="preserve"> </w:t>
      </w:r>
      <w:r>
        <w:t xml:space="preserve">recovery. NAMPT expression and cellular NAD oscillate under circadian</w:t>
      </w:r>
      <w:r>
        <w:t xml:space="preserve"> </w:t>
      </w:r>
      <w:r>
        <w:t xml:space="preserve">control in experimental systems, providing a mechanistic reason to treat</w:t>
      </w:r>
      <w:r>
        <w:t xml:space="preserve"> </w:t>
      </w:r>
      <w:r>
        <w:t xml:space="preserve">sleep timing and circadian disruption as potential modifiers rather than</w:t>
      </w:r>
      <w:r>
        <w:t xml:space="preserve"> </w:t>
      </w:r>
      <w:r>
        <w:t xml:space="preserve">lifestyle footnotes [52]. SARM1 adds a distinct neuronal drain:</w:t>
      </w:r>
      <w:r>
        <w:t xml:space="preserve"> </w:t>
      </w:r>
      <w:r>
        <w:t xml:space="preserve">injury-induced elevation of the NMN/NAD ratio activates its intrinsic</w:t>
      </w:r>
      <w:r>
        <w:t xml:space="preserve"> </w:t>
      </w:r>
      <w:r>
        <w:t xml:space="preserve">NADase and can drive feed-forward axonal metabolic collapse [51]. This</w:t>
      </w:r>
      <w:r>
        <w:t xml:space="preserve"> </w:t>
      </w:r>
      <w:r>
        <w:t xml:space="preserve">mechanism is established in experimental neurons and axon-injury models;</w:t>
      </w:r>
      <w:r>
        <w:t xml:space="preserve"> </w:t>
      </w:r>
      <w:r>
        <w:t xml:space="preserve">it is not a generic explanation for brain fog.</w:t>
      </w:r>
    </w:p>
    <w:p>
      <w:pPr>
        <w:pStyle w:val="BodyText"/>
      </w:pPr>
      <w:r>
        <w:t xml:space="preserve">This produces an important therapeutic principle:</w:t>
      </w:r>
      <w:r>
        <w:t xml:space="preserve"> </w:t>
      </w:r>
      <w:r>
        <w:rPr>
          <w:bCs/>
          <w:b/>
        </w:rPr>
        <w:t xml:space="preserve">replacement without</w:t>
      </w:r>
      <w:r>
        <w:rPr>
          <w:bCs/>
          <w:b/>
        </w:rPr>
        <w:t xml:space="preserve"> </w:t>
      </w:r>
      <w:r>
        <w:rPr>
          <w:bCs/>
          <w:b/>
        </w:rPr>
        <w:t xml:space="preserve">drain control may yield transient biochemical correction without durable</w:t>
      </w:r>
      <w:r>
        <w:rPr>
          <w:bCs/>
          <w:b/>
        </w:rPr>
        <w:t xml:space="preserve"> </w:t>
      </w:r>
      <w:r>
        <w:rPr>
          <w:bCs/>
          <w:b/>
        </w:rPr>
        <w:t xml:space="preserve">restoration</w:t>
      </w:r>
      <w:r>
        <w:t xml:space="preserve">. If inflammatory activity, sleep debt, alcohol exposure,</w:t>
      </w:r>
      <w:r>
        <w:t xml:space="preserve"> </w:t>
      </w:r>
      <w:r>
        <w:t xml:space="preserve">persistent infection, glycemic overload, medication effects or untreated</w:t>
      </w:r>
      <w:r>
        <w:t xml:space="preserve"> </w:t>
      </w:r>
      <w:r>
        <w:t xml:space="preserve">endocrine dysfunction continue to increase demand, repeated NAD exposure</w:t>
      </w:r>
      <w:r>
        <w:t xml:space="preserve"> </w:t>
      </w:r>
      <w:r>
        <w:t xml:space="preserve">may produce diminishing returns.</w:t>
      </w:r>
    </w:p>
    <w:p>
      <w:pPr>
        <w:pStyle w:val="BodyText"/>
      </w:pPr>
      <w:r>
        <w:t xml:space="preserve">The initial clinical question should therefore not be “How much NAD?”</w:t>
      </w:r>
      <w:r>
        <w:t xml:space="preserve"> </w:t>
      </w:r>
      <w:r>
        <w:t xml:space="preserve">but “Why is this patient likely to be NAD-constrained, in which tissue,</w:t>
      </w:r>
      <w:r>
        <w:t xml:space="preserve"> </w:t>
      </w:r>
      <w:r>
        <w:t xml:space="preserve">and through which mechanism?”</w:t>
      </w:r>
    </w:p>
    <w:bookmarkEnd w:id="45"/>
    <w:bookmarkStart w:id="50" w:name="X4db5c537dd2c8bfda7194b1d7be4d8d8cf32392"/>
    <w:p>
      <w:pPr>
        <w:pStyle w:val="Heading2"/>
      </w:pPr>
      <w:r>
        <w:t xml:space="preserve">8. Intravenous NAD+: what the route does and does not establish</w:t>
      </w:r>
    </w:p>
    <w:bookmarkStart w:id="46" w:name="X0b1e4c8fb2dea6a8271b72bde536e371e73f1d8"/>
    <w:p>
      <w:pPr>
        <w:pStyle w:val="Heading3"/>
      </w:pPr>
      <w:r>
        <w:t xml:space="preserve">8.1 Acute extracellular exposure</w:t>
      </w:r>
    </w:p>
    <w:p>
      <w:pPr>
        <w:pStyle w:val="FirstParagraph"/>
      </w:pPr>
      <w:r>
        <w:t xml:space="preserve">Intravenous administration bypasses gastrointestinal absorption and</w:t>
      </w:r>
      <w:r>
        <w:t xml:space="preserve"> </w:t>
      </w:r>
      <w:r>
        <w:t xml:space="preserve">creates direct vascular exposure. This statement is pharmacologically</w:t>
      </w:r>
      <w:r>
        <w:t xml:space="preserve"> </w:t>
      </w:r>
      <w:r>
        <w:t xml:space="preserve">true. It does</w:t>
      </w:r>
      <w:r>
        <w:t xml:space="preserve"> </w:t>
      </w:r>
      <w:r>
        <w:rPr>
          <w:bCs/>
          <w:b/>
        </w:rPr>
        <w:t xml:space="preserve">not</w:t>
      </w:r>
      <w:r>
        <w:t xml:space="preserve"> </w:t>
      </w:r>
      <w:r>
        <w:t xml:space="preserve">justify the phrase “100% cellular</w:t>
      </w:r>
      <w:r>
        <w:t xml:space="preserve"> </w:t>
      </w:r>
      <w:r>
        <w:t xml:space="preserve">bioavailability.” The infused molecule remains exposed to plasma</w:t>
      </w:r>
      <w:r>
        <w:t xml:space="preserve"> </w:t>
      </w:r>
      <w:r>
        <w:t xml:space="preserve">distribution, endothelial interfaces, extracellular metabolism, renal</w:t>
      </w:r>
      <w:r>
        <w:t xml:space="preserve"> </w:t>
      </w:r>
      <w:r>
        <w:t xml:space="preserve">handling and ectoenzymes before any claim about intracellular delivery</w:t>
      </w:r>
      <w:r>
        <w:t xml:space="preserve"> </w:t>
      </w:r>
      <w:r>
        <w:t xml:space="preserve">can be made.</w:t>
      </w:r>
    </w:p>
    <w:p>
      <w:pPr>
        <w:pStyle w:val="BodyText"/>
      </w:pPr>
      <w:r>
        <w:t xml:space="preserve">In the principal human metabolomic pilot, eight participants received</w:t>
      </w:r>
      <w:r>
        <w:t xml:space="preserve"> </w:t>
      </w:r>
      <w:r>
        <w:t xml:space="preserve">750 mg NAD+ over six hours at approximately 3 μmol/min [6]. During at</w:t>
      </w:r>
      <w:r>
        <w:t xml:space="preserve"> </w:t>
      </w:r>
      <w:r>
        <w:t xml:space="preserve">least the first two hours, infused NAD+ was rapidly and completely</w:t>
      </w:r>
      <w:r>
        <w:t xml:space="preserve"> </w:t>
      </w:r>
      <w:r>
        <w:t xml:space="preserve">removed from plasma at that infusion rate. The metabolite pattern was</w:t>
      </w:r>
      <w:r>
        <w:t xml:space="preserve"> </w:t>
      </w:r>
      <w:r>
        <w:t xml:space="preserve">consistent with extracellular degradation, including increases in</w:t>
      </w:r>
      <w:r>
        <w:t xml:space="preserve"> </w:t>
      </w:r>
      <w:r>
        <w:t xml:space="preserve">nicotinamide, ADP-ribose-related products and methylated nicotinamide</w:t>
      </w:r>
      <w:r>
        <w:t xml:space="preserve"> </w:t>
      </w:r>
      <w:r>
        <w:t xml:space="preserve">excretion. This study demonstrates metabolism of the infused substrate.</w:t>
      </w:r>
      <w:r>
        <w:t xml:space="preserve"> </w:t>
      </w:r>
      <w:r>
        <w:t xml:space="preserve">It does not establish how much intact NAD entered a particular tissue or</w:t>
      </w:r>
      <w:r>
        <w:t xml:space="preserve"> </w:t>
      </w:r>
      <w:r>
        <w:t xml:space="preserve">organelle.</w:t>
      </w:r>
    </w:p>
    <w:bookmarkEnd w:id="46"/>
    <w:bookmarkStart w:id="47" w:name="Xe2c62246269c52c14e944151f6fb74d0e213021"/>
    <w:p>
      <w:pPr>
        <w:pStyle w:val="Heading3"/>
      </w:pPr>
      <w:r>
        <w:t xml:space="preserve">8.2 Tolerability is rate-dependent information</w:t>
      </w:r>
    </w:p>
    <w:p>
      <w:pPr>
        <w:pStyle w:val="FirstParagraph"/>
      </w:pPr>
      <w:r>
        <w:t xml:space="preserve">A 2026 retrospective study compared four consecutive days of 500 mg IV</w:t>
      </w:r>
      <w:r>
        <w:t xml:space="preserve"> </w:t>
      </w:r>
      <w:r>
        <w:t xml:space="preserve">NAD+ with IV NR in a commercial setting [7]. IV NAD+ was associated</w:t>
      </w:r>
      <w:r>
        <w:t xml:space="preserve"> </w:t>
      </w:r>
      <w:r>
        <w:t xml:space="preserve">with more moderate-to-severe gastrointestinal symptoms, chest pressure</w:t>
      </w:r>
      <w:r>
        <w:t xml:space="preserve"> </w:t>
      </w:r>
      <w:r>
        <w:t xml:space="preserve">and increased heart rate during infusion, producing a longer mean</w:t>
      </w:r>
      <w:r>
        <w:t xml:space="preserve"> </w:t>
      </w:r>
      <w:r>
        <w:t xml:space="preserve">infusion time than IV NR. Symptoms resolved after infusion. The study is</w:t>
      </w:r>
      <w:r>
        <w:t xml:space="preserve"> </w:t>
      </w:r>
      <w:r>
        <w:t xml:space="preserve">useful as real-world tolerability evidence but is limited by</w:t>
      </w:r>
      <w:r>
        <w:t xml:space="preserve"> </w:t>
      </w:r>
      <w:r>
        <w:t xml:space="preserve">retrospective design, small samples, selection effects and exploratory</w:t>
      </w:r>
      <w:r>
        <w:t xml:space="preserve"> </w:t>
      </w:r>
      <w:r>
        <w:t xml:space="preserve">endpoints.</w:t>
      </w:r>
    </w:p>
    <w:p>
      <w:pPr>
        <w:pStyle w:val="BodyText"/>
      </w:pPr>
      <w:r>
        <w:t xml:space="preserve">Rate intolerance should not be dismissed as a nuisance. It is</w:t>
      </w:r>
      <w:r>
        <w:t xml:space="preserve"> </w:t>
      </w:r>
      <w:r>
        <w:t xml:space="preserve">pharmacodynamic information. Symptoms that emerge with faster</w:t>
      </w:r>
      <w:r>
        <w:t xml:space="preserve"> </w:t>
      </w:r>
      <w:r>
        <w:t xml:space="preserve">administration and recede when the rate is reduced indicate that peak</w:t>
      </w:r>
      <w:r>
        <w:t xml:space="preserve"> </w:t>
      </w:r>
      <w:r>
        <w:t xml:space="preserve">extracellular exposure or rapid metabolite generation matters. The</w:t>
      </w:r>
      <w:r>
        <w:t xml:space="preserve"> </w:t>
      </w:r>
      <w:r>
        <w:t xml:space="preserve">practical response is individualized rate control and reassessment, not</w:t>
      </w:r>
      <w:r>
        <w:t xml:space="preserve"> </w:t>
      </w:r>
      <w:r>
        <w:t xml:space="preserve">a universal timetable.</w:t>
      </w:r>
    </w:p>
    <w:bookmarkEnd w:id="47"/>
    <w:bookmarkStart w:id="48" w:name="Xf759ba0b9b5c13a0ca96d55bf2d81a48ed5fff7"/>
    <w:p>
      <w:pPr>
        <w:pStyle w:val="Heading3"/>
      </w:pPr>
      <w:r>
        <w:t xml:space="preserve">8.3 What has not been demonstrated</w:t>
      </w:r>
    </w:p>
    <w:p>
      <w:pPr>
        <w:pStyle w:val="FirstParagraph"/>
      </w:pPr>
      <w:r>
        <w:t xml:space="preserve">No robust controlled outcomes trial establishes IV NAD+ itself as a</w:t>
      </w:r>
      <w:r>
        <w:t xml:space="preserve"> </w:t>
      </w:r>
      <w:r>
        <w:t xml:space="preserve">universal therapy for fatigue, brain fog, healthy aging, addiction</w:t>
      </w:r>
      <w:r>
        <w:t xml:space="preserve"> </w:t>
      </w:r>
      <w:r>
        <w:t xml:space="preserve">recovery or “cellular regeneration.” The 2026 systematic review of</w:t>
      </w:r>
      <w:r>
        <w:t xml:space="preserve"> </w:t>
      </w:r>
      <w:r>
        <w:t xml:space="preserve">NAD-related interventions identified consistent biochemical engagement</w:t>
      </w:r>
      <w:r>
        <w:t xml:space="preserve"> </w:t>
      </w:r>
      <w:r>
        <w:t xml:space="preserve">with oral precursors but no eligible outcome trials of IV or</w:t>
      </w:r>
      <w:r>
        <w:t xml:space="preserve"> </w:t>
      </w:r>
      <w:r>
        <w:t xml:space="preserve">intramuscular NAD+ itself for anti-aging or wellness indications [8].</w:t>
      </w:r>
    </w:p>
    <w:p>
      <w:pPr>
        <w:pStyle w:val="BodyText"/>
      </w:pPr>
      <w:r>
        <w:t xml:space="preserve">This absence does not prove that individual patients cannot benefit. It</w:t>
      </w:r>
      <w:r>
        <w:t xml:space="preserve"> </w:t>
      </w:r>
      <w:r>
        <w:t xml:space="preserve">means the clinician cannot use published population-level outcome</w:t>
      </w:r>
      <w:r>
        <w:t xml:space="preserve"> </w:t>
      </w:r>
      <w:r>
        <w:t xml:space="preserve">evidence as the sole justification. A clinical use must instead be</w:t>
      </w:r>
      <w:r>
        <w:t xml:space="preserve"> </w:t>
      </w:r>
      <w:r>
        <w:t xml:space="preserve">framed as a mechanistically coherent, monitored therapeutic trial with</w:t>
      </w:r>
      <w:r>
        <w:t xml:space="preserve"> </w:t>
      </w:r>
      <w:r>
        <w:t xml:space="preserve">pre-defined targets and falsifiers.</w:t>
      </w:r>
    </w:p>
    <w:bookmarkEnd w:id="48"/>
    <w:bookmarkStart w:id="49" w:name="Xf04b4f4abc5cf8f2cc170630dde1013612269c1"/>
    <w:p>
      <w:pPr>
        <w:pStyle w:val="Heading3"/>
      </w:pPr>
      <w:r>
        <w:t xml:space="preserve">8.4 Defensible role of IV NAD+</w:t>
      </w:r>
    </w:p>
    <w:p>
      <w:pPr>
        <w:pStyle w:val="FirstParagraph"/>
      </w:pPr>
      <w:r>
        <w:t xml:space="preserve">IV NAD+ is best conceptualized as an</w:t>
      </w:r>
      <w:r>
        <w:t xml:space="preserve"> </w:t>
      </w:r>
      <w:r>
        <w:rPr>
          <w:bCs/>
          <w:b/>
        </w:rPr>
        <w:t xml:space="preserve">acute exposure component</w:t>
      </w:r>
      <w:r>
        <w:t xml:space="preserve"> </w:t>
      </w:r>
      <w:r>
        <w:t xml:space="preserve">within</w:t>
      </w:r>
      <w:r>
        <w:t xml:space="preserve"> </w:t>
      </w:r>
      <w:r>
        <w:t xml:space="preserve">a broader restoration program. Its defensible advantages are controlled</w:t>
      </w:r>
      <w:r>
        <w:t xml:space="preserve"> </w:t>
      </w:r>
      <w:r>
        <w:t xml:space="preserve">administration, direct vascular exposure, immediate rate adjustment and</w:t>
      </w:r>
      <w:r>
        <w:t xml:space="preserve"> </w:t>
      </w:r>
      <w:r>
        <w:t xml:space="preserve">the possibility of close observation. Its unresolved elements are tissue</w:t>
      </w:r>
      <w:r>
        <w:t xml:space="preserve"> </w:t>
      </w:r>
      <w:r>
        <w:t xml:space="preserve">delivery, optimal dose, optimal frequency, durable functional effect and</w:t>
      </w:r>
      <w:r>
        <w:t xml:space="preserve"> </w:t>
      </w:r>
      <w:r>
        <w:t xml:space="preserve">responder phenotype.</w:t>
      </w:r>
    </w:p>
    <w:p>
      <w:pPr>
        <w:pStyle w:val="BodyText"/>
      </w:pPr>
      <w:r>
        <w:t xml:space="preserve">The route is therefore neither magic nor meaningless. It is a distinct</w:t>
      </w:r>
      <w:r>
        <w:t xml:space="preserve"> </w:t>
      </w:r>
      <w:r>
        <w:t xml:space="preserve">pharmacologic exposure whose value depends on patient selection,</w:t>
      </w:r>
      <w:r>
        <w:t xml:space="preserve"> </w:t>
      </w:r>
      <w:r>
        <w:t xml:space="preserve">preparation quality, rate, companion architecture and measured response.</w:t>
      </w:r>
    </w:p>
    <w:bookmarkEnd w:id="49"/>
    <w:bookmarkEnd w:id="50"/>
    <w:bookmarkStart w:id="55" w:name="X5d03b8781c56514bed8a455e6c19d0355663b91"/>
    <w:p>
      <w:pPr>
        <w:pStyle w:val="Heading2"/>
      </w:pPr>
      <w:r>
        <w:t xml:space="preserve">9. Oral NR and NMN as continuity companions</w:t>
      </w:r>
    </w:p>
    <w:p>
      <w:pPr>
        <w:pStyle w:val="FirstParagraph"/>
      </w:pPr>
      <w:r>
        <w:t xml:space="preserve">The kinetics and evidence profile of oral precursors differ materially</w:t>
      </w:r>
      <w:r>
        <w:t xml:space="preserve"> </w:t>
      </w:r>
      <w:r>
        <w:t xml:space="preserve">from IV NAD+. Oral NR and NMN are not merely weaker versions of an</w:t>
      </w:r>
      <w:r>
        <w:t xml:space="preserve"> </w:t>
      </w:r>
      <w:r>
        <w:t xml:space="preserve">infusion; they are sustained pathway inputs.</w:t>
      </w:r>
    </w:p>
    <w:bookmarkStart w:id="51" w:name="Xeff3c36b2ea697d4b4533ce31a2fdaa5a0a511e"/>
    <w:p>
      <w:pPr>
        <w:pStyle w:val="Heading3"/>
      </w:pPr>
      <w:r>
        <w:t xml:space="preserve">9.1 Biochemical target engagement</w:t>
      </w:r>
    </w:p>
    <w:p>
      <w:pPr>
        <w:pStyle w:val="FirstParagraph"/>
      </w:pPr>
      <w:r>
        <w:t xml:space="preserve">The first human pharmacokinetic study demonstrated dose-dependent</w:t>
      </w:r>
      <w:r>
        <w:t xml:space="preserve"> </w:t>
      </w:r>
      <w:r>
        <w:t xml:space="preserve">changes in the blood NAD metabolome after single oral NR doses of 100,</w:t>
      </w:r>
      <w:r>
        <w:t xml:space="preserve"> </w:t>
      </w:r>
      <w:r>
        <w:t xml:space="preserve">300 and 1,000 mg and identified NAAD as a sensitive marker of effective</w:t>
      </w:r>
      <w:r>
        <w:t xml:space="preserve"> </w:t>
      </w:r>
      <w:r>
        <w:t xml:space="preserve">repletion [49]. Multiple randomized human trials subsequently showed</w:t>
      </w:r>
      <w:r>
        <w:t xml:space="preserve"> </w:t>
      </w:r>
      <w:r>
        <w:t xml:space="preserve">that oral NR raises whole-blood NAD-related metabolites in a</w:t>
      </w:r>
      <w:r>
        <w:t xml:space="preserve"> </w:t>
      </w:r>
      <w:r>
        <w:t xml:space="preserve">dose-responsive manner [9–12]. In healthy middle-aged and older</w:t>
      </w:r>
      <w:r>
        <w:t xml:space="preserve"> </w:t>
      </w:r>
      <w:r>
        <w:t xml:space="preserve">adults, daily NR increased circulating NAD metabolites and was generally</w:t>
      </w:r>
      <w:r>
        <w:t xml:space="preserve"> </w:t>
      </w:r>
      <w:r>
        <w:t xml:space="preserve">well tolerated over weeks. In aged men, 1,000 mg/day for 21 days altered</w:t>
      </w:r>
      <w:r>
        <w:t xml:space="preserve"> </w:t>
      </w:r>
      <w:r>
        <w:t xml:space="preserve">the skeletal-muscle NAD metabolome and transcriptomic inflammatory</w:t>
      </w:r>
      <w:r>
        <w:t xml:space="preserve"> </w:t>
      </w:r>
      <w:r>
        <w:t xml:space="preserve">signatures without improving mitochondrial bioenergetics [12]. In</w:t>
      </w:r>
      <w:r>
        <w:t xml:space="preserve"> </w:t>
      </w:r>
      <w:r>
        <w:t xml:space="preserve">overweight or insulin-resistant participants, other trials found</w:t>
      </w:r>
      <w:r>
        <w:t xml:space="preserve"> </w:t>
      </w:r>
      <w:r>
        <w:t xml:space="preserve">metabolomic engagement but no improvement in insulin sensitivity or</w:t>
      </w:r>
      <w:r>
        <w:t xml:space="preserve"> </w:t>
      </w:r>
      <w:r>
        <w:t xml:space="preserve">skeletal-muscle mitochondrial respiration [13,14].</w:t>
      </w:r>
    </w:p>
    <w:p>
      <w:pPr>
        <w:pStyle w:val="BodyText"/>
      </w:pPr>
      <w:r>
        <w:t xml:space="preserve">NMN trials similarly demonstrate circulating target engagement. In</w:t>
      </w:r>
      <w:r>
        <w:t xml:space="preserve"> </w:t>
      </w:r>
      <w:r>
        <w:t xml:space="preserve">prediabetic postmenopausal women, 250 mg/day for ten weeks improved</w:t>
      </w:r>
      <w:r>
        <w:t xml:space="preserve"> </w:t>
      </w:r>
      <w:r>
        <w:t xml:space="preserve">insulin-stimulated muscle glucose disposal and signaling in a small</w:t>
      </w:r>
      <w:r>
        <w:t xml:space="preserve"> </w:t>
      </w:r>
      <w:r>
        <w:t xml:space="preserve">randomized trial [15]. A methodological critique noted a substantial</w:t>
      </w:r>
      <w:r>
        <w:t xml:space="preserve"> </w:t>
      </w:r>
      <w:r>
        <w:t xml:space="preserve">baseline liver-fat imbalance between groups, reducing confidence in</w:t>
      </w:r>
      <w:r>
        <w:t xml:space="preserve"> </w:t>
      </w:r>
      <w:r>
        <w:t xml:space="preserve">broad causal interpretation [16]. Other studies found signals in</w:t>
      </w:r>
      <w:r>
        <w:t xml:space="preserve"> </w:t>
      </w:r>
      <w:r>
        <w:t xml:space="preserve">walking speed, sleep measures, body weight, blood pressure or arterial</w:t>
      </w:r>
      <w:r>
        <w:t xml:space="preserve"> </w:t>
      </w:r>
      <w:r>
        <w:t xml:space="preserve">stiffness, but primary endpoints were sometimes null and cohorts were</w:t>
      </w:r>
      <w:r>
        <w:t xml:space="preserve"> </w:t>
      </w:r>
      <w:r>
        <w:t xml:space="preserve">small [17–19]. Meta-analyses through 2024 found consistent increases</w:t>
      </w:r>
      <w:r>
        <w:t xml:space="preserve"> </w:t>
      </w:r>
      <w:r>
        <w:t xml:space="preserve">in NAD-related biomarkers but no reliable improvement in fasting</w:t>
      </w:r>
      <w:r>
        <w:t xml:space="preserve"> </w:t>
      </w:r>
      <w:r>
        <w:t xml:space="preserve">glucose, insulin, HbA1c or lipid outcomes across mainly short, small</w:t>
      </w:r>
      <w:r>
        <w:t xml:space="preserve"> </w:t>
      </w:r>
      <w:r>
        <w:t xml:space="preserve">trials [20,21]. A 54-participant hypertension pilot using NR 1,000</w:t>
      </w:r>
      <w:r>
        <w:t xml:space="preserve"> </w:t>
      </w:r>
      <w:r>
        <w:t xml:space="preserve">mg/day for six weeks did not improve its primary daytime</w:t>
      </w:r>
      <w:r>
        <w:t xml:space="preserve"> </w:t>
      </w:r>
      <w:r>
        <w:t xml:space="preserve">systolic-blood-pressure endpoint versus control; pulse-wave velocity and</w:t>
      </w:r>
      <w:r>
        <w:t xml:space="preserve"> </w:t>
      </w:r>
      <w:r>
        <w:t xml:space="preserve">nocturnal pressure findings remained trend-level or post hoc [56].</w:t>
      </w:r>
    </w:p>
    <w:p>
      <w:pPr>
        <w:pStyle w:val="BodyText"/>
      </w:pPr>
      <w:r>
        <w:t xml:space="preserve">Short-term safety data extend across several contexts but do not settle</w:t>
      </w:r>
      <w:r>
        <w:t xml:space="preserve"> </w:t>
      </w:r>
      <w:r>
        <w:t xml:space="preserve">long-term efficacy. A randomized phase I study tested NR at 3,000 mg/day</w:t>
      </w:r>
      <w:r>
        <w:t xml:space="preserve"> </w:t>
      </w:r>
      <w:r>
        <w:t xml:space="preserve">for four weeks in twenty people with Parkinson's disease [40]. A small</w:t>
      </w:r>
      <w:r>
        <w:t xml:space="preserve"> </w:t>
      </w:r>
      <w:r>
        <w:t xml:space="preserve">dose-escalation study of NR combined with pterostilbene in acute kidney</w:t>
      </w:r>
      <w:r>
        <w:t xml:space="preserve"> </w:t>
      </w:r>
      <w:r>
        <w:t xml:space="preserve">injury documented biochemical engagement and short-term tolerability,</w:t>
      </w:r>
      <w:r>
        <w:t xml:space="preserve"> </w:t>
      </w:r>
      <w:r>
        <w:t xml:space="preserve">but was not designed to establish therapeutic efficacy [41]. These</w:t>
      </w:r>
      <w:r>
        <w:t xml:space="preserve"> </w:t>
      </w:r>
      <w:r>
        <w:t xml:space="preserve">studies widen the observed exposure range; they do not justify routine</w:t>
      </w:r>
      <w:r>
        <w:t xml:space="preserve"> </w:t>
      </w:r>
      <w:r>
        <w:t xml:space="preserve">high dosing.</w:t>
      </w:r>
    </w:p>
    <w:bookmarkEnd w:id="51"/>
    <w:bookmarkStart w:id="52" w:name="Xcbbcbb05b078293a4f3b71781b97a4ddbe118a7"/>
    <w:p>
      <w:pPr>
        <w:pStyle w:val="Heading3"/>
      </w:pPr>
      <w:r>
        <w:t xml:space="preserve">9.2 Brain exposure</w:t>
      </w:r>
    </w:p>
    <w:p>
      <w:pPr>
        <w:pStyle w:val="FirstParagraph"/>
      </w:pPr>
      <w:r>
        <w:t xml:space="preserve">The NADPARK phase I trial reported that 1,000 mg/day NR for 30 days was</w:t>
      </w:r>
      <w:r>
        <w:t xml:space="preserve"> </w:t>
      </w:r>
      <w:r>
        <w:t xml:space="preserve">well tolerated and produced a variable increase in cerebral NAD measured</w:t>
      </w:r>
      <w:r>
        <w:t xml:space="preserve"> </w:t>
      </w:r>
      <w:r>
        <w:t xml:space="preserve">by phosphorus magnetic resonance spectroscopy, with changes in cerebral</w:t>
      </w:r>
      <w:r>
        <w:t xml:space="preserve"> </w:t>
      </w:r>
      <w:r>
        <w:t xml:space="preserve">metabolism and inflammatory markers [22]. A separate acute</w:t>
      </w:r>
      <w:r>
        <w:t xml:space="preserve"> </w:t>
      </w:r>
      <w:r>
        <w:t xml:space="preserve">spectroscopy study found an increase in cerebral NAD four hours after</w:t>
      </w:r>
      <w:r>
        <w:t xml:space="preserve"> </w:t>
      </w:r>
      <w:r>
        <w:t xml:space="preserve">900 mg NR in ten healthy volunteers [23]. A 2026 phase I</w:t>
      </w:r>
      <w:r>
        <w:t xml:space="preserve"> </w:t>
      </w:r>
      <w:r>
        <w:t xml:space="preserve">pharmacokinetic study of NR or NMN at 1,200 mg/day in twelve</w:t>
      </w:r>
      <w:r>
        <w:t xml:space="preserve"> </w:t>
      </w:r>
      <w:r>
        <w:t xml:space="preserve">participants reported slower blood accumulation, a plateau after</w:t>
      </w:r>
      <w:r>
        <w:t xml:space="preserve"> </w:t>
      </w:r>
      <w:r>
        <w:t xml:space="preserve">approximately two weeks and measurable cerebral increases after four</w:t>
      </w:r>
      <w:r>
        <w:t xml:space="preserve"> </w:t>
      </w:r>
      <w:r>
        <w:t xml:space="preserve">weeks [24]. These studies are important because they move beyond</w:t>
      </w:r>
      <w:r>
        <w:t xml:space="preserve"> </w:t>
      </w:r>
      <w:r>
        <w:t xml:space="preserve">blood-only measurement, but they remain small and do not establish</w:t>
      </w:r>
      <w:r>
        <w:t xml:space="preserve"> </w:t>
      </w:r>
      <w:r>
        <w:t xml:space="preserve">durable cognitive benefit.</w:t>
      </w:r>
    </w:p>
    <w:bookmarkEnd w:id="52"/>
    <w:bookmarkStart w:id="53" w:name="Xbb8315cb4c4cb3eda6283edf1826284e12df5cb"/>
    <w:p>
      <w:pPr>
        <w:pStyle w:val="Heading3"/>
      </w:pPr>
      <w:r>
        <w:t xml:space="preserve">9.3 Functional heterogeneity is not failure of the pathway</w:t>
      </w:r>
    </w:p>
    <w:p>
      <w:pPr>
        <w:pStyle w:val="FirstParagraph"/>
      </w:pPr>
      <w:r>
        <w:t xml:space="preserve">Explicitly null studies sharpen rather than weaken the model. In 14</w:t>
      </w:r>
      <w:r>
        <w:t xml:space="preserve"> </w:t>
      </w:r>
      <w:r>
        <w:t xml:space="preserve">physically compromised older adults, a 32-day mixture of tryptophan,</w:t>
      </w:r>
      <w:r>
        <w:t xml:space="preserve"> </w:t>
      </w:r>
      <w:r>
        <w:t xml:space="preserve">nicotinic acid and nicotinamide increased muscle methyl-nicotinamide but</w:t>
      </w:r>
      <w:r>
        <w:t xml:space="preserve"> </w:t>
      </w:r>
      <w:r>
        <w:t xml:space="preserve">did not increase muscle NAD, mitochondrial respiration or exercise</w:t>
      </w:r>
      <w:r>
        <w:t xml:space="preserve"> </w:t>
      </w:r>
      <w:r>
        <w:t xml:space="preserve">efficiency [53]. In 32 adults aged 55–80, 1,000 mg NR plus 200 mg</w:t>
      </w:r>
      <w:r>
        <w:t xml:space="preserve"> </w:t>
      </w:r>
      <w:r>
        <w:t xml:space="preserve">pterostilbene daily increased whole-blood NAD-related metabolites yet</w:t>
      </w:r>
      <w:r>
        <w:t xml:space="preserve"> </w:t>
      </w:r>
      <w:r>
        <w:t xml:space="preserve">did not improve muscle stem-cell recruitment, strength recovery or</w:t>
      </w:r>
      <w:r>
        <w:t xml:space="preserve"> </w:t>
      </w:r>
      <w:r>
        <w:t xml:space="preserve">histological regeneration after experimental injury [54]. In a</w:t>
      </w:r>
      <w:r>
        <w:t xml:space="preserve"> </w:t>
      </w:r>
      <w:r>
        <w:t xml:space="preserve">20-person MCI pilot, NR increased blood NAD 2.6-fold but did not change</w:t>
      </w:r>
      <w:r>
        <w:t xml:space="preserve"> </w:t>
      </w:r>
      <w:r>
        <w:t xml:space="preserve">cognition [55]. These trials demonstrate why exposure, tissue state</w:t>
      </w:r>
      <w:r>
        <w:t xml:space="preserve"> </w:t>
      </w:r>
      <w:r>
        <w:t xml:space="preserve">and outcome must be reported separately.</w:t>
      </w:r>
    </w:p>
    <w:p>
      <w:pPr>
        <w:pStyle w:val="BodyText"/>
      </w:pPr>
      <w:r>
        <w:t xml:space="preserve">The recurring human pattern is coherent:</w:t>
      </w:r>
    </w:p>
    <w:p>
      <w:pPr>
        <w:numPr>
          <w:ilvl w:val="0"/>
          <w:numId w:val="1010"/>
        </w:numPr>
        <w:pStyle w:val="Compact"/>
      </w:pPr>
      <w:r>
        <w:t xml:space="preserve">biochemical target engagement is common;</w:t>
      </w:r>
    </w:p>
    <w:p>
      <w:pPr>
        <w:numPr>
          <w:ilvl w:val="0"/>
          <w:numId w:val="1010"/>
        </w:numPr>
        <w:pStyle w:val="Compact"/>
      </w:pPr>
      <w:r>
        <w:t xml:space="preserve">tissue engagement is demonstrated in some settings;</w:t>
      </w:r>
    </w:p>
    <w:p>
      <w:pPr>
        <w:numPr>
          <w:ilvl w:val="0"/>
          <w:numId w:val="1010"/>
        </w:numPr>
        <w:pStyle w:val="Compact"/>
      </w:pPr>
      <w:r>
        <w:t xml:space="preserve">functional benefit is variable;</w:t>
      </w:r>
    </w:p>
    <w:p>
      <w:pPr>
        <w:numPr>
          <w:ilvl w:val="0"/>
          <w:numId w:val="1010"/>
        </w:numPr>
        <w:pStyle w:val="Compact"/>
      </w:pPr>
      <w:r>
        <w:t xml:space="preserve">broad anti-aging outcomes are unproven.</w:t>
      </w:r>
    </w:p>
    <w:p>
      <w:pPr>
        <w:pStyle w:val="FirstParagraph"/>
      </w:pPr>
      <w:r>
        <w:t xml:space="preserve">This is not logically contradictory. It implies that NAD constraint is</w:t>
      </w:r>
      <w:r>
        <w:t xml:space="preserve"> </w:t>
      </w:r>
      <w:r>
        <w:t xml:space="preserve">not the only determinant of function and may not be the dominant</w:t>
      </w:r>
      <w:r>
        <w:t xml:space="preserve"> </w:t>
      </w:r>
      <w:r>
        <w:t xml:space="preserve">bottleneck in every patient. A patient whose fatigue is driven by iron</w:t>
      </w:r>
      <w:r>
        <w:t xml:space="preserve"> </w:t>
      </w:r>
      <w:r>
        <w:t xml:space="preserve">deficiency, thyroid dysfunction, sleep apnea, uncontrolled inflammation,</w:t>
      </w:r>
      <w:r>
        <w:t xml:space="preserve"> </w:t>
      </w:r>
      <w:r>
        <w:t xml:space="preserve">caloric insufficiency, medication effects or major depression should not</w:t>
      </w:r>
      <w:r>
        <w:t xml:space="preserve"> </w:t>
      </w:r>
      <w:r>
        <w:t xml:space="preserve">be expected to normalize through NAD augmentation alone.</w:t>
      </w:r>
    </w:p>
    <w:bookmarkEnd w:id="53"/>
    <w:bookmarkStart w:id="54" w:name="Xb0be151534cd1f0f32040d5a86d1ff579761524"/>
    <w:p>
      <w:pPr>
        <w:pStyle w:val="Heading3"/>
      </w:pPr>
      <w:r>
        <w:t xml:space="preserve">9.4 Continuity architecture</w:t>
      </w:r>
    </w:p>
    <w:p>
      <w:pPr>
        <w:pStyle w:val="FirstParagraph"/>
      </w:pPr>
      <w:r>
        <w:t xml:space="preserve">Oral NR or NMN can serve as a</w:t>
      </w:r>
      <w:r>
        <w:t xml:space="preserve"> </w:t>
      </w:r>
      <w:r>
        <w:rPr>
          <w:bCs/>
          <w:b/>
        </w:rPr>
        <w:t xml:space="preserve">continuity companion</w:t>
      </w:r>
      <w:r>
        <w:t xml:space="preserve"> </w:t>
      </w:r>
      <w:r>
        <w:t xml:space="preserve">when the clinical</w:t>
      </w:r>
      <w:r>
        <w:t xml:space="preserve"> </w:t>
      </w:r>
      <w:r>
        <w:t xml:space="preserve">objective is sustained pathway input between acute interventions. The</w:t>
      </w:r>
      <w:r>
        <w:t xml:space="preserve"> </w:t>
      </w:r>
      <w:r>
        <w:t xml:space="preserve">choice should be based on tolerability, product identity, dose actually</w:t>
      </w:r>
      <w:r>
        <w:t xml:space="preserve"> </w:t>
      </w:r>
      <w:r>
        <w:t xml:space="preserve">studied, adherence, measured response and plausible pathway bottleneck.</w:t>
      </w:r>
      <w:r>
        <w:t xml:space="preserve"> </w:t>
      </w:r>
      <w:r>
        <w:t xml:space="preserve">It should not be based solely on proximity to NAD in a diagram or</w:t>
      </w:r>
      <w:r>
        <w:t xml:space="preserve"> </w:t>
      </w:r>
      <w:r>
        <w:t xml:space="preserve">marketing claims about absorption.</w:t>
      </w:r>
    </w:p>
    <w:bookmarkEnd w:id="54"/>
    <w:bookmarkEnd w:id="55"/>
    <w:bookmarkStart w:id="60" w:name="Xfa6dfa01fffe2acafa2218ef70e7963ba59600b"/>
    <w:p>
      <w:pPr>
        <w:pStyle w:val="Heading2"/>
      </w:pPr>
      <w:r>
        <w:t xml:space="preserve">10. One-carbon metabolism, nicotinamide disposal and conditional TMG</w:t>
      </w:r>
    </w:p>
    <w:bookmarkStart w:id="56" w:name="X56a4da40e81e3d9fc0d065571569e3e4c2d0bc6"/>
    <w:p>
      <w:pPr>
        <w:pStyle w:val="Heading3"/>
      </w:pPr>
      <w:r>
        <w:t xml:space="preserve">10.1 The biochemical connection</w:t>
      </w:r>
    </w:p>
    <w:p>
      <w:pPr>
        <w:pStyle w:val="FirstParagraph"/>
      </w:pPr>
      <w:r>
        <w:t xml:space="preserve">NAD-consuming reactions release nicotinamide. Nicotinamide can be</w:t>
      </w:r>
      <w:r>
        <w:t xml:space="preserve"> </w:t>
      </w:r>
      <w:r>
        <w:t xml:space="preserve">salvaged through NAMPT or methylated by nicotinamide N-methyltransferase</w:t>
      </w:r>
      <w:r>
        <w:t xml:space="preserve"> </w:t>
      </w:r>
      <w:r>
        <w:t xml:space="preserve">(NNMT). NNMT transfers a methyl group from S-adenosylmethionine (SAM) to</w:t>
      </w:r>
      <w:r>
        <w:t xml:space="preserve"> </w:t>
      </w:r>
      <w:r>
        <w:t xml:space="preserve">nicotinamide, generating N1-methylnicotinamide and</w:t>
      </w:r>
      <w:r>
        <w:t xml:space="preserve"> </w:t>
      </w:r>
      <w:r>
        <w:t xml:space="preserve">S-adenosylhomocysteine (SAH). The reaction therefore connects NAD</w:t>
      </w:r>
      <w:r>
        <w:t xml:space="preserve"> </w:t>
      </w:r>
      <w:r>
        <w:t xml:space="preserve">turnover with the methionine cycle and cellular methyl-donor economy</w:t>
      </w:r>
      <w:r>
        <w:t xml:space="preserve"> </w:t>
      </w:r>
      <w:r>
        <w:t xml:space="preserve">[25].</w:t>
      </w:r>
    </w:p>
    <w:p>
      <w:pPr>
        <w:pStyle w:val="BodyText"/>
      </w:pPr>
      <w:r>
        <w:t xml:space="preserve">TMG, or betaine, can donate a methyl group through betaine-homocysteine</w:t>
      </w:r>
      <w:r>
        <w:t xml:space="preserve"> </w:t>
      </w:r>
      <w:r>
        <w:t xml:space="preserve">methyltransferase, predominantly in liver and kidney, converting</w:t>
      </w:r>
      <w:r>
        <w:t xml:space="preserve"> </w:t>
      </w:r>
      <w:r>
        <w:t xml:space="preserve">homocysteine toward methionine. This is a real biochemical route. It</w:t>
      </w:r>
      <w:r>
        <w:t xml:space="preserve"> </w:t>
      </w:r>
      <w:r>
        <w:t xml:space="preserve">does not prove that every person receiving NAD, NR or NMN becomes</w:t>
      </w:r>
      <w:r>
        <w:t xml:space="preserve"> </w:t>
      </w:r>
      <w:r>
        <w:t xml:space="preserve">methyl-depleted or requires TMG.</w:t>
      </w:r>
    </w:p>
    <w:bookmarkEnd w:id="56"/>
    <w:bookmarkStart w:id="57" w:name="X5566a5b2b98b398e112af996183750ad7f41491"/>
    <w:p>
      <w:pPr>
        <w:pStyle w:val="Heading3"/>
      </w:pPr>
      <w:r>
        <w:t xml:space="preserve">10.2 Human evidence argues against automatic supplementation</w:t>
      </w:r>
    </w:p>
    <w:p>
      <w:pPr>
        <w:pStyle w:val="FirstParagraph"/>
      </w:pPr>
      <w:r>
        <w:t xml:space="preserve">In a double-blind placebo-controlled analysis of 29 people with</w:t>
      </w:r>
      <w:r>
        <w:t xml:space="preserve"> </w:t>
      </w:r>
      <w:r>
        <w:t xml:space="preserve">Parkinson's disease, high-dose short-term NR did not produce a</w:t>
      </w:r>
      <w:r>
        <w:t xml:space="preserve"> </w:t>
      </w:r>
      <w:r>
        <w:t xml:space="preserve">deleterious change in DNA methylation homeostasis, including in</w:t>
      </w:r>
      <w:r>
        <w:t xml:space="preserve"> </w:t>
      </w:r>
      <w:r>
        <w:t xml:space="preserve">participants with common MTHFR variants [26]. Longer-term NR studies</w:t>
      </w:r>
      <w:r>
        <w:t xml:space="preserve"> </w:t>
      </w:r>
      <w:r>
        <w:t xml:space="preserve">have also not consistently shown disruption of one-carbon metabolism</w:t>
      </w:r>
      <w:r>
        <w:t xml:space="preserve"> </w:t>
      </w:r>
      <w:r>
        <w:t xml:space="preserve">[10,11]. These findings refute the universal statement that NAD</w:t>
      </w:r>
      <w:r>
        <w:t xml:space="preserve"> </w:t>
      </w:r>
      <w:r>
        <w:t xml:space="preserve">precursor use necessarily “drains methyl groups.”</w:t>
      </w:r>
    </w:p>
    <w:p>
      <w:pPr>
        <w:pStyle w:val="BodyText"/>
      </w:pPr>
      <w:r>
        <w:t xml:space="preserve">At the same time, intravenous NAD metabolomics demonstrate increased</w:t>
      </w:r>
      <w:r>
        <w:t xml:space="preserve"> </w:t>
      </w:r>
      <w:r>
        <w:t xml:space="preserve">methylated nicotinamide excretion [6], and the NNMT reaction is</w:t>
      </w:r>
      <w:r>
        <w:t xml:space="preserve"> </w:t>
      </w:r>
      <w:r>
        <w:t xml:space="preserve">biochemically established. A conditional burden is therefore plausible</w:t>
      </w:r>
      <w:r>
        <w:t xml:space="preserve"> </w:t>
      </w:r>
      <w:r>
        <w:t xml:space="preserve">when turnover is high, methyl supply is marginal, homocysteine is</w:t>
      </w:r>
      <w:r>
        <w:t xml:space="preserve"> </w:t>
      </w:r>
      <w:r>
        <w:t xml:space="preserve">elevated or liver handling is altered.</w:t>
      </w:r>
    </w:p>
    <w:bookmarkEnd w:id="57"/>
    <w:bookmarkStart w:id="58" w:name="X879c34d271535b236795582a9d7910beb0e18b1"/>
    <w:p>
      <w:pPr>
        <w:pStyle w:val="Heading3"/>
      </w:pPr>
      <w:r>
        <w:t xml:space="preserve">10.3 TMG has benefits and trade-offs</w:t>
      </w:r>
    </w:p>
    <w:p>
      <w:pPr>
        <w:pStyle w:val="FirstParagraph"/>
      </w:pPr>
      <w:r>
        <w:t xml:space="preserve">Randomized evidence shows that betaine can lower homocysteine. A</w:t>
      </w:r>
      <w:r>
        <w:t xml:space="preserve"> </w:t>
      </w:r>
      <w:r>
        <w:t xml:space="preserve">meta-analysis found a pooled reduction of approximately 1.23 μmol/L with</w:t>
      </w:r>
      <w:r>
        <w:t xml:space="preserve"> </w:t>
      </w:r>
      <w:r>
        <w:t xml:space="preserve">at least 4 g/day for six weeks or longer [27]. Another synthesis found</w:t>
      </w:r>
      <w:r>
        <w:t xml:space="preserve"> </w:t>
      </w:r>
      <w:r>
        <w:t xml:space="preserve">lower-dose effects but also an increase in total and LDL cholesterol at</w:t>
      </w:r>
      <w:r>
        <w:t xml:space="preserve"> </w:t>
      </w:r>
      <w:r>
        <w:t xml:space="preserve">higher exposure [28]. In controlled studies, 6 g/day increased LDL</w:t>
      </w:r>
      <w:r>
        <w:t xml:space="preserve"> </w:t>
      </w:r>
      <w:r>
        <w:t xml:space="preserve">cholesterol by approximately 0.36 mmol/L and triglycerides by</w:t>
      </w:r>
      <w:r>
        <w:t xml:space="preserve"> </w:t>
      </w:r>
      <w:r>
        <w:t xml:space="preserve">approximately 0.14 mmol/L after six weeks [29].</w:t>
      </w:r>
    </w:p>
    <w:p>
      <w:pPr>
        <w:pStyle w:val="BodyText"/>
      </w:pPr>
      <w:r>
        <w:t xml:space="preserve">TMG is therefore not a harmless ritual companion. It is a targeted</w:t>
      </w:r>
      <w:r>
        <w:t xml:space="preserve"> </w:t>
      </w:r>
      <w:r>
        <w:t xml:space="preserve">intervention with a biochemical purpose and measurable trade-offs.</w:t>
      </w:r>
    </w:p>
    <w:bookmarkEnd w:id="58"/>
    <w:bookmarkStart w:id="59" w:name="Xacc8be0732d953599957dfe85821c569e0b7b12"/>
    <w:p>
      <w:pPr>
        <w:pStyle w:val="Heading3"/>
      </w:pPr>
      <w:r>
        <w:t xml:space="preserve">10.4 Clinic Terrain position</w:t>
      </w:r>
    </w:p>
    <w:p>
      <w:pPr>
        <w:pStyle w:val="FirstParagraph"/>
      </w:pPr>
      <w:r>
        <w:t xml:space="preserve">TMG is considered when one or more of the following are present:</w:t>
      </w:r>
    </w:p>
    <w:p>
      <w:pPr>
        <w:numPr>
          <w:ilvl w:val="0"/>
          <w:numId w:val="1011"/>
        </w:numPr>
        <w:pStyle w:val="Compact"/>
      </w:pPr>
      <w:r>
        <w:t xml:space="preserve">elevated or rising homocysteine;</w:t>
      </w:r>
    </w:p>
    <w:p>
      <w:pPr>
        <w:numPr>
          <w:ilvl w:val="0"/>
          <w:numId w:val="1011"/>
        </w:numPr>
        <w:pStyle w:val="Compact"/>
      </w:pPr>
      <w:r>
        <w:t xml:space="preserve">high cumulative precursor exposure with increased methylated</w:t>
      </w:r>
      <w:r>
        <w:t xml:space="preserve"> </w:t>
      </w:r>
      <w:r>
        <w:t xml:space="preserve">nicotinamide disposal;</w:t>
      </w:r>
    </w:p>
    <w:p>
      <w:pPr>
        <w:numPr>
          <w:ilvl w:val="0"/>
          <w:numId w:val="1011"/>
        </w:numPr>
        <w:pStyle w:val="Compact"/>
      </w:pPr>
      <w:r>
        <w:t xml:space="preserve">low dietary choline/betaine or inadequate protein and methionine</w:t>
      </w:r>
      <w:r>
        <w:t xml:space="preserve"> </w:t>
      </w:r>
      <w:r>
        <w:t xml:space="preserve">context;</w:t>
      </w:r>
    </w:p>
    <w:p>
      <w:pPr>
        <w:numPr>
          <w:ilvl w:val="0"/>
          <w:numId w:val="1011"/>
        </w:numPr>
        <w:pStyle w:val="Compact"/>
      </w:pPr>
      <w:r>
        <w:t xml:space="preserve">folate, vitamin B12 or vitamin B6 insufficiency requiring correction;</w:t>
      </w:r>
    </w:p>
    <w:p>
      <w:pPr>
        <w:numPr>
          <w:ilvl w:val="0"/>
          <w:numId w:val="1011"/>
        </w:numPr>
        <w:pStyle w:val="Compact"/>
      </w:pPr>
      <w:r>
        <w:t xml:space="preserve">liver-related or genetic context that changes one-carbon handling;</w:t>
      </w:r>
    </w:p>
    <w:p>
      <w:pPr>
        <w:numPr>
          <w:ilvl w:val="0"/>
          <w:numId w:val="1011"/>
        </w:numPr>
        <w:pStyle w:val="Compact"/>
      </w:pPr>
      <w:r>
        <w:t xml:space="preserve">a reproducible clinical pattern suggesting loss of benefit during</w:t>
      </w:r>
      <w:r>
        <w:t xml:space="preserve"> </w:t>
      </w:r>
      <w:r>
        <w:t xml:space="preserve">continued NAD-directed exposure, after more direct explanations have</w:t>
      </w:r>
      <w:r>
        <w:t xml:space="preserve"> </w:t>
      </w:r>
      <w:r>
        <w:t xml:space="preserve">been assessed.</w:t>
      </w:r>
    </w:p>
    <w:p>
      <w:pPr>
        <w:pStyle w:val="FirstParagraph"/>
      </w:pPr>
      <w:r>
        <w:t xml:space="preserve">TMG is reconsidered when lipids worsen, there is no biochemical need,</w:t>
      </w:r>
      <w:r>
        <w:t xml:space="preserve"> </w:t>
      </w:r>
      <w:r>
        <w:t xml:space="preserve">the companion stack obscures causality, or correction of a more proximal</w:t>
      </w:r>
      <w:r>
        <w:t xml:space="preserve"> </w:t>
      </w:r>
      <w:r>
        <w:t xml:space="preserve">deficiency is sufficient.</w:t>
      </w:r>
    </w:p>
    <w:p>
      <w:pPr>
        <w:pStyle w:val="BodyText"/>
      </w:pPr>
      <w:r>
        <w:rPr>
          <w:bCs/>
          <w:b/>
        </w:rPr>
        <w:t xml:space="preserve">Conclusion:</w:t>
      </w:r>
      <w:r>
        <w:t xml:space="preserve"> </w:t>
      </w:r>
      <w:r>
        <w:t xml:space="preserve">TMG is a conditional methyl-support companion, not an</w:t>
      </w:r>
      <w:r>
        <w:t xml:space="preserve"> </w:t>
      </w:r>
      <w:r>
        <w:t xml:space="preserve">automatic component of every NAD program.</w:t>
      </w:r>
    </w:p>
    <w:bookmarkEnd w:id="59"/>
    <w:bookmarkEnd w:id="60"/>
    <w:bookmarkStart w:id="66" w:name="Xb77d3ce5287e2ae35dd36508819f6f4363fe7ad"/>
    <w:p>
      <w:pPr>
        <w:pStyle w:val="Heading2"/>
      </w:pPr>
      <w:r>
        <w:t xml:space="preserve">11. The NAD-5D clinical reasoning model</w:t>
      </w:r>
    </w:p>
    <w:p>
      <w:pPr>
        <w:pStyle w:val="FirstParagraph"/>
      </w:pPr>
      <w:r>
        <w:t xml:space="preserve">Clinic Terrain proposes a five-domain model to prevent</w:t>
      </w:r>
      <w:r>
        <w:t xml:space="preserve"> </w:t>
      </w:r>
      <w:r>
        <w:t xml:space="preserve">administration-centered reasoning.</w:t>
      </w:r>
    </w:p>
    <w:bookmarkStart w:id="61" w:name="X7e15e141fbd628db59fffa04e0653ca4cb55bc5"/>
    <w:p>
      <w:pPr>
        <w:pStyle w:val="Heading3"/>
      </w:pPr>
      <w:r>
        <w:t xml:space="preserve">11.1 Deficit</w:t>
      </w:r>
    </w:p>
    <w:p>
      <w:pPr>
        <w:pStyle w:val="FirstParagraph"/>
      </w:pPr>
      <w:r>
        <w:t xml:space="preserve">What supports an NAD-constrained state? The evidence may include age and</w:t>
      </w:r>
      <w:r>
        <w:t xml:space="preserve"> </w:t>
      </w:r>
      <w:r>
        <w:t xml:space="preserve">inflammatory burden, but should extend to phenotype, diet, alcohol</w:t>
      </w:r>
      <w:r>
        <w:t xml:space="preserve"> </w:t>
      </w:r>
      <w:r>
        <w:t xml:space="preserve">exposure, medications, sleep, metabolic condition, organ function</w:t>
      </w:r>
      <w:r>
        <w:t xml:space="preserve"> </w:t>
      </w:r>
      <w:r>
        <w:t xml:space="preserve">and—where feasible—direct or proxy metabolomic measurements. Symptoms</w:t>
      </w:r>
      <w:r>
        <w:t xml:space="preserve"> </w:t>
      </w:r>
      <w:r>
        <w:t xml:space="preserve">alone are nonspecific.</w:t>
      </w:r>
    </w:p>
    <w:bookmarkEnd w:id="61"/>
    <w:bookmarkStart w:id="62" w:name="X19794f2430e37ce0a79a3e9488f3bb83c5c2d54"/>
    <w:p>
      <w:pPr>
        <w:pStyle w:val="Heading3"/>
      </w:pPr>
      <w:r>
        <w:t xml:space="preserve">11.2 Delivery</w:t>
      </w:r>
    </w:p>
    <w:p>
      <w:pPr>
        <w:pStyle w:val="FirstParagraph"/>
      </w:pPr>
      <w:r>
        <w:t xml:space="preserve">What substrate is being delivered, by which route, at what rate, dose</w:t>
      </w:r>
      <w:r>
        <w:t xml:space="preserve"> </w:t>
      </w:r>
      <w:r>
        <w:t xml:space="preserve">and duration? IV NAD+, oral NR and oral NMN are distinct exposures.</w:t>
      </w:r>
      <w:r>
        <w:t xml:space="preserve"> </w:t>
      </w:r>
      <w:r>
        <w:t xml:space="preserve">Product identity and actual delivered dose belong in this domain.</w:t>
      </w:r>
    </w:p>
    <w:bookmarkEnd w:id="62"/>
    <w:bookmarkStart w:id="63" w:name="X6e1358e17543118b60909a9106ddd1c66457c0c"/>
    <w:p>
      <w:pPr>
        <w:pStyle w:val="Heading3"/>
      </w:pPr>
      <w:r>
        <w:t xml:space="preserve">11.3 Distribution</w:t>
      </w:r>
    </w:p>
    <w:p>
      <w:pPr>
        <w:pStyle w:val="FirstParagraph"/>
      </w:pPr>
      <w:r>
        <w:t xml:space="preserve">Which tissue and compartment must be reached for the clinical hypothesis</w:t>
      </w:r>
      <w:r>
        <w:t xml:space="preserve"> </w:t>
      </w:r>
      <w:r>
        <w:t xml:space="preserve">to be true? What direct measure or defensible proxy will indicate</w:t>
      </w:r>
      <w:r>
        <w:t xml:space="preserve"> </w:t>
      </w:r>
      <w:r>
        <w:t xml:space="preserve">engagement? Whole-blood NAD is not automatically a brain or</w:t>
      </w:r>
      <w:r>
        <w:t xml:space="preserve"> </w:t>
      </w:r>
      <w:r>
        <w:t xml:space="preserve">mitochondrial measurement.</w:t>
      </w:r>
    </w:p>
    <w:bookmarkEnd w:id="63"/>
    <w:bookmarkStart w:id="64" w:name="X3b2a09c3f4357d6ead5a0e561ec58768ba2cdb7"/>
    <w:p>
      <w:pPr>
        <w:pStyle w:val="Heading3"/>
      </w:pPr>
      <w:r>
        <w:t xml:space="preserve">11.4 Drain</w:t>
      </w:r>
    </w:p>
    <w:p>
      <w:pPr>
        <w:pStyle w:val="FirstParagraph"/>
      </w:pPr>
      <w:r>
        <w:t xml:space="preserve">Which processes may be consuming or diverting the pool? Relevant domains</w:t>
      </w:r>
      <w:r>
        <w:t xml:space="preserve"> </w:t>
      </w:r>
      <w:r>
        <w:t xml:space="preserve">include CD38-associated inflammation, PARP activation and DNA damage,</w:t>
      </w:r>
      <w:r>
        <w:t xml:space="preserve"> </w:t>
      </w:r>
      <w:r>
        <w:t xml:space="preserve">oxidative stress, infection, metabolic overload, poor sleep, alcohol,</w:t>
      </w:r>
      <w:r>
        <w:t xml:space="preserve"> </w:t>
      </w:r>
      <w:r>
        <w:t xml:space="preserve">exercise/recovery imbalance, nicotinamide disposal through NNMT and</w:t>
      </w:r>
      <w:r>
        <w:t xml:space="preserve"> </w:t>
      </w:r>
      <w:r>
        <w:t xml:space="preserve">other competing metabolic demands.</w:t>
      </w:r>
    </w:p>
    <w:bookmarkEnd w:id="64"/>
    <w:bookmarkStart w:id="65" w:name="X1a42155d77b48c5a29842d65dadb1481d33c60a"/>
    <w:p>
      <w:pPr>
        <w:pStyle w:val="Heading3"/>
      </w:pPr>
      <w:r>
        <w:t xml:space="preserve">11.5 Demonstrated response</w:t>
      </w:r>
    </w:p>
    <w:p>
      <w:pPr>
        <w:pStyle w:val="FirstParagraph"/>
      </w:pPr>
      <w:r>
        <w:t xml:space="preserve">Was there a reproducible response at the biochemical, physiological and</w:t>
      </w:r>
      <w:r>
        <w:t xml:space="preserve"> </w:t>
      </w:r>
      <w:r>
        <w:t xml:space="preserve">patient-relevant levels? Did it persist? Was there a dose or rate</w:t>
      </w:r>
      <w:r>
        <w:t xml:space="preserve"> </w:t>
      </w:r>
      <w:r>
        <w:t xml:space="preserve">relationship? Did the effect disappear on withdrawal and recur on</w:t>
      </w:r>
      <w:r>
        <w:t xml:space="preserve"> </w:t>
      </w:r>
      <w:r>
        <w:t xml:space="preserve">rechallenge? Did an objective marker move in the predicted direction?</w:t>
      </w:r>
      <w:r>
        <w:t xml:space="preserve"> </w:t>
      </w:r>
      <w:r>
        <w:t xml:space="preserve">What result would falsify the working hypothesis?</w:t>
      </w:r>
    </w:p>
    <w:p>
      <w:pPr>
        <w:pStyle w:val="BodyText"/>
      </w:pPr>
      <w:r>
        <w:t xml:space="preserve">The model is deliberately multiplicative in spirit. Strong delivery</w:t>
      </w:r>
      <w:r>
        <w:t xml:space="preserve"> </w:t>
      </w:r>
      <w:r>
        <w:t xml:space="preserve">cannot compensate automatically for a wrong deficit hypothesis,</w:t>
      </w:r>
      <w:r>
        <w:t xml:space="preserve"> </w:t>
      </w:r>
      <w:r>
        <w:t xml:space="preserve">irrelevant distribution, uncontrolled drain or absent response.</w:t>
      </w:r>
    </w:p>
    <w:bookmarkEnd w:id="65"/>
    <w:bookmarkEnd w:id="66"/>
    <w:bookmarkStart w:id="72" w:name="Xabb740cd64b4c5fcbff34462a939874cf8b0063"/>
    <w:p>
      <w:pPr>
        <w:pStyle w:val="Heading2"/>
      </w:pPr>
      <w:r>
        <w:t xml:space="preserve">12. Clinical phenotypes and testable hypotheses</w:t>
      </w:r>
    </w:p>
    <w:bookmarkStart w:id="67" w:name="Xee9ef3df102fb62d2a565d05084b27be57f958d"/>
    <w:p>
      <w:pPr>
        <w:pStyle w:val="Heading3"/>
      </w:pPr>
      <w:r>
        <w:t xml:space="preserve">12.1 Fatigue and low energy</w:t>
      </w:r>
    </w:p>
    <w:p>
      <w:pPr>
        <w:pStyle w:val="FirstParagraph"/>
      </w:pPr>
      <w:r>
        <w:t xml:space="preserve">Fatigue is not a diagnosis of NAD deficiency. A defensible NAD-directed</w:t>
      </w:r>
      <w:r>
        <w:t xml:space="preserve"> </w:t>
      </w:r>
      <w:r>
        <w:t xml:space="preserve">hypothesis requires evidence that common and consequential causes have</w:t>
      </w:r>
      <w:r>
        <w:t xml:space="preserve"> </w:t>
      </w:r>
      <w:r>
        <w:t xml:space="preserve">been assessed: anemia and iron status, thyroid function, sleep quantity</w:t>
      </w:r>
      <w:r>
        <w:t xml:space="preserve"> </w:t>
      </w:r>
      <w:r>
        <w:t xml:space="preserve">and quality, infection or inflammation, glycemic dysregulation,</w:t>
      </w:r>
      <w:r>
        <w:t xml:space="preserve"> </w:t>
      </w:r>
      <w:r>
        <w:t xml:space="preserve">nutritional adequacy, medication effects, cardiopulmonary limitation,</w:t>
      </w:r>
      <w:r>
        <w:t xml:space="preserve"> </w:t>
      </w:r>
      <w:r>
        <w:t xml:space="preserve">mood disorder and overtraining.</w:t>
      </w:r>
    </w:p>
    <w:p>
      <w:pPr>
        <w:pStyle w:val="BodyText"/>
      </w:pPr>
      <w:r>
        <w:t xml:space="preserve">An NAD-related component becomes more plausible when fatigue is</w:t>
      </w:r>
      <w:r>
        <w:t xml:space="preserve"> </w:t>
      </w:r>
      <w:r>
        <w:t xml:space="preserve">associated with metabolic stress, poor recovery, post-infectious change,</w:t>
      </w:r>
      <w:r>
        <w:t xml:space="preserve"> </w:t>
      </w:r>
      <w:r>
        <w:t xml:space="preserve">age-related decline, or a reproducible response to prior NAD-directed</w:t>
      </w:r>
      <w:r>
        <w:t xml:space="preserve"> </w:t>
      </w:r>
      <w:r>
        <w:t xml:space="preserve">exposure. Even then, the response should be tested against functional</w:t>
      </w:r>
      <w:r>
        <w:t xml:space="preserve"> </w:t>
      </w:r>
      <w:r>
        <w:t xml:space="preserve">measures rather than impression alone.</w:t>
      </w:r>
    </w:p>
    <w:bookmarkEnd w:id="67"/>
    <w:bookmarkStart w:id="68" w:name="X436cb175848ed74b9bf8a492b549da2040ac260"/>
    <w:p>
      <w:pPr>
        <w:pStyle w:val="Heading3"/>
      </w:pPr>
      <w:r>
        <w:t xml:space="preserve">12.2 Brain fog and cognitive complaints</w:t>
      </w:r>
    </w:p>
    <w:p>
      <w:pPr>
        <w:pStyle w:val="FirstParagraph"/>
      </w:pPr>
      <w:r>
        <w:t xml:space="preserve">NR studies establish that cerebral NAD can be altered in humans</w:t>
      </w:r>
      <w:r>
        <w:t xml:space="preserve"> </w:t>
      </w:r>
      <w:r>
        <w:t xml:space="preserve">[22–24]. They do not prove that nonspecific brain fog is generally</w:t>
      </w:r>
      <w:r>
        <w:t xml:space="preserve"> </w:t>
      </w:r>
      <w:r>
        <w:t xml:space="preserve">caused by cerebral NAD insufficiency. Sleep disruption, anxiety,</w:t>
      </w:r>
      <w:r>
        <w:t xml:space="preserve"> </w:t>
      </w:r>
      <w:r>
        <w:t xml:space="preserve">depression, thyroid dysfunction, iron or B12 deficiency, post-viral</w:t>
      </w:r>
      <w:r>
        <w:t xml:space="preserve"> </w:t>
      </w:r>
      <w:r>
        <w:t xml:space="preserve">inflammation, glucose variability, medication effects and</w:t>
      </w:r>
      <w:r>
        <w:t xml:space="preserve"> </w:t>
      </w:r>
      <w:r>
        <w:t xml:space="preserve">neurodegenerative disease remain competing explanations.</w:t>
      </w:r>
    </w:p>
    <w:p>
      <w:pPr>
        <w:pStyle w:val="BodyText"/>
      </w:pPr>
      <w:r>
        <w:t xml:space="preserve">Useful longitudinal measures may include a standardized symptom scale,</w:t>
      </w:r>
      <w:r>
        <w:t xml:space="preserve"> </w:t>
      </w:r>
      <w:r>
        <w:t xml:space="preserve">processing-speed or attention task, sleep metrics, work-function</w:t>
      </w:r>
      <w:r>
        <w:t xml:space="preserve"> </w:t>
      </w:r>
      <w:r>
        <w:t xml:space="preserve">measures and timing relative to intervention. A transient feeling of</w:t>
      </w:r>
      <w:r>
        <w:t xml:space="preserve"> </w:t>
      </w:r>
      <w:r>
        <w:t xml:space="preserve">clarity is clinically relevant but not equivalent to disease</w:t>
      </w:r>
      <w:r>
        <w:t xml:space="preserve"> </w:t>
      </w:r>
      <w:r>
        <w:t xml:space="preserve">modification.</w:t>
      </w:r>
    </w:p>
    <w:bookmarkEnd w:id="68"/>
    <w:bookmarkStart w:id="69" w:name="X37d7e7b6f3717533567b31e7c1a9abcc85cf6b2"/>
    <w:p>
      <w:pPr>
        <w:pStyle w:val="Heading3"/>
      </w:pPr>
      <w:r>
        <w:t xml:space="preserve">12.3 Metabolic dysfunction</w:t>
      </w:r>
    </w:p>
    <w:p>
      <w:pPr>
        <w:pStyle w:val="FirstParagraph"/>
      </w:pPr>
      <w:r>
        <w:t xml:space="preserve">Selected NMN trials show insulin-sensitivity signals, while pooled</w:t>
      </w:r>
      <w:r>
        <w:t xml:space="preserve"> </w:t>
      </w:r>
      <w:r>
        <w:t xml:space="preserve">analyses are largely null for routine glucose and lipid measures</w:t>
      </w:r>
      <w:r>
        <w:t xml:space="preserve"> </w:t>
      </w:r>
      <w:r>
        <w:t xml:space="preserve">[15,20,21]. A 2026 blood-pressure meta-analysis found a modest pooled</w:t>
      </w:r>
      <w:r>
        <w:t xml:space="preserve"> </w:t>
      </w:r>
      <w:r>
        <w:t xml:space="preserve">reduction in diastolic pressure and an age-restricted systolic signal,</w:t>
      </w:r>
      <w:r>
        <w:t xml:space="preserve"> </w:t>
      </w:r>
      <w:r>
        <w:t xml:space="preserve">but the evidence remained preliminary [42]. The correct conclusion is</w:t>
      </w:r>
      <w:r>
        <w:t xml:space="preserve"> </w:t>
      </w:r>
      <w:r>
        <w:t xml:space="preserve">conditionality, not universal efficacy or universal failure. Baseline</w:t>
      </w:r>
      <w:r>
        <w:t xml:space="preserve"> </w:t>
      </w:r>
      <w:r>
        <w:t xml:space="preserve">metabolic phenotype, tissue NAD constraint, duration and companion</w:t>
      </w:r>
      <w:r>
        <w:t xml:space="preserve"> </w:t>
      </w:r>
      <w:r>
        <w:t xml:space="preserve">lifestyle changes likely modify response.</w:t>
      </w:r>
    </w:p>
    <w:bookmarkEnd w:id="69"/>
    <w:bookmarkStart w:id="70" w:name="X11ac51f2531893e7113e441e88b8dbbe8851b8a"/>
    <w:p>
      <w:pPr>
        <w:pStyle w:val="Heading3"/>
      </w:pPr>
      <w:r>
        <w:t xml:space="preserve">12.4 Recovery and physical performance</w:t>
      </w:r>
    </w:p>
    <w:p>
      <w:pPr>
        <w:pStyle w:val="FirstParagraph"/>
      </w:pPr>
      <w:r>
        <w:t xml:space="preserve">Human trials show changes in skeletal-muscle NAD metabolites and</w:t>
      </w:r>
      <w:r>
        <w:t xml:space="preserve"> </w:t>
      </w:r>
      <w:r>
        <w:t xml:space="preserve">acetylcarnitine handling, but mitochondrial respiration, insulin</w:t>
      </w:r>
      <w:r>
        <w:t xml:space="preserve"> </w:t>
      </w:r>
      <w:r>
        <w:t xml:space="preserve">sensitivity and performance outcomes are often unchanged [12–14]. A</w:t>
      </w:r>
      <w:r>
        <w:t xml:space="preserve"> </w:t>
      </w:r>
      <w:r>
        <w:t xml:space="preserve">performance claim therefore requires direct measurement of the</w:t>
      </w:r>
      <w:r>
        <w:t xml:space="preserve"> </w:t>
      </w:r>
      <w:r>
        <w:t xml:space="preserve">performance domain rather than extrapolation from a biomarker.</w:t>
      </w:r>
    </w:p>
    <w:bookmarkEnd w:id="70"/>
    <w:bookmarkStart w:id="71" w:name="Xfd5930cfe1b87168d52cd86742195d4e6183648"/>
    <w:p>
      <w:pPr>
        <w:pStyle w:val="Heading3"/>
      </w:pPr>
      <w:r>
        <w:t xml:space="preserve">12.5 Healthy aging</w:t>
      </w:r>
    </w:p>
    <w:p>
      <w:pPr>
        <w:pStyle w:val="FirstParagraph"/>
      </w:pPr>
      <w:r>
        <w:t xml:space="preserve">NAD metabolism intersects with several hallmarks of aging, including</w:t>
      </w:r>
      <w:r>
        <w:t xml:space="preserve"> </w:t>
      </w:r>
      <w:r>
        <w:t xml:space="preserve">mitochondrial dysfunction, genomic instability, altered nutrient</w:t>
      </w:r>
      <w:r>
        <w:t xml:space="preserve"> </w:t>
      </w:r>
      <w:r>
        <w:t xml:space="preserve">sensing, cellular senescence and inflammation. This network relevance</w:t>
      </w:r>
      <w:r>
        <w:t xml:space="preserve"> </w:t>
      </w:r>
      <w:r>
        <w:t xml:space="preserve">makes NAD a serious target of geroscience. It does not establish that</w:t>
      </w:r>
      <w:r>
        <w:t xml:space="preserve"> </w:t>
      </w:r>
      <w:r>
        <w:t xml:space="preserve">raising blood NAD slows human aging, extends lifespan or reverses a</w:t>
      </w:r>
      <w:r>
        <w:t xml:space="preserve"> </w:t>
      </w:r>
      <w:r>
        <w:t xml:space="preserve">biological-age clock. The appropriate objective is preservation or</w:t>
      </w:r>
      <w:r>
        <w:t xml:space="preserve"> </w:t>
      </w:r>
      <w:r>
        <w:t xml:space="preserve">restoration of defined function, not an unmeasured promise of</w:t>
      </w:r>
      <w:r>
        <w:t xml:space="preserve"> </w:t>
      </w:r>
      <w:r>
        <w:t xml:space="preserve">rejuvenation.</w:t>
      </w:r>
    </w:p>
    <w:bookmarkEnd w:id="71"/>
    <w:bookmarkEnd w:id="72"/>
    <w:bookmarkStart w:id="73" w:name="X34a9667a35af7ee2dd50631afd93f90cc5a0b7d"/>
    <w:p>
      <w:pPr>
        <w:pStyle w:val="Heading2"/>
      </w:pPr>
      <w:r>
        <w:t xml:space="preserve">13. Oncology: neither blanket prohibition nor casual reassurance</w:t>
      </w:r>
    </w:p>
    <w:p>
      <w:pPr>
        <w:pStyle w:val="FirstParagraph"/>
      </w:pPr>
      <w:r>
        <w:t xml:space="preserve">NAD is required by normal and malignant cells. Tumors can depend on</w:t>
      </w:r>
      <w:r>
        <w:t xml:space="preserve"> </w:t>
      </w:r>
      <w:r>
        <w:t xml:space="preserve">NAMPT-mediated salvage, mitochondrial NAD transport, PARP activity and</w:t>
      </w:r>
      <w:r>
        <w:t xml:space="preserve"> </w:t>
      </w:r>
      <w:r>
        <w:t xml:space="preserve">NAD-supported stress resistance. SLC25A51 is upregulated in multiple</w:t>
      </w:r>
      <w:r>
        <w:t xml:space="preserve"> </w:t>
      </w:r>
      <w:r>
        <w:t xml:space="preserve">cancers and can sustain mitochondrial metabolism and tumor growth in</w:t>
      </w:r>
      <w:r>
        <w:t xml:space="preserve"> </w:t>
      </w:r>
      <w:r>
        <w:t xml:space="preserve">experimental systems [31]. NAMPT dependence is a therapeutic</w:t>
      </w:r>
      <w:r>
        <w:t xml:space="preserve"> </w:t>
      </w:r>
      <w:r>
        <w:t xml:space="preserve">vulnerability in several tumor models [32,33]. A 2022 animal study</w:t>
      </w:r>
      <w:r>
        <w:t xml:space="preserve"> </w:t>
      </w:r>
      <w:r>
        <w:t xml:space="preserve">reported increased prevalence and brain metastasis in a triple-negative</w:t>
      </w:r>
      <w:r>
        <w:t xml:space="preserve"> </w:t>
      </w:r>
      <w:r>
        <w:t xml:space="preserve">breast-cancer model with NR supplementation [34]. A 2026</w:t>
      </w:r>
      <w:r>
        <w:t xml:space="preserve"> </w:t>
      </w:r>
      <w:r>
        <w:t xml:space="preserve">pancreatic-cancer study found that vitamin B3 derivatives could support</w:t>
      </w:r>
      <w:r>
        <w:t xml:space="preserve"> </w:t>
      </w:r>
      <w:r>
        <w:t xml:space="preserve">chemotherapy resistance in experimental models [35].</w:t>
      </w:r>
    </w:p>
    <w:p>
      <w:pPr>
        <w:pStyle w:val="BodyText"/>
      </w:pPr>
      <w:r>
        <w:t xml:space="preserve">The relationship is not unidirectional. Other models report prevention</w:t>
      </w:r>
      <w:r>
        <w:t xml:space="preserve"> </w:t>
      </w:r>
      <w:r>
        <w:t xml:space="preserve">of DNA damage or improved treatment response with NAD precursors</w:t>
      </w:r>
      <w:r>
        <w:t xml:space="preserve"> </w:t>
      </w:r>
      <w:r>
        <w:t xml:space="preserve">[36,37]. This apparent contradiction is biologically plausible:</w:t>
      </w:r>
      <w:r>
        <w:t xml:space="preserve"> </w:t>
      </w:r>
      <w:r>
        <w:t xml:space="preserve">restoring NAD may protect normal tissue in one context, correct a</w:t>
      </w:r>
      <w:r>
        <w:t xml:space="preserve"> </w:t>
      </w:r>
      <w:r>
        <w:t xml:space="preserve">carcinogenic deficiency in another, or support the metabolic resilience</w:t>
      </w:r>
      <w:r>
        <w:t xml:space="preserve"> </w:t>
      </w:r>
      <w:r>
        <w:t xml:space="preserve">of an established tumor in a third.</w:t>
      </w:r>
    </w:p>
    <w:p>
      <w:pPr>
        <w:pStyle w:val="BodyText"/>
      </w:pPr>
      <w:r>
        <w:t xml:space="preserve">The Clinic Terrain conclusion is therefore context-specific:</w:t>
      </w:r>
    </w:p>
    <w:p>
      <w:pPr>
        <w:numPr>
          <w:ilvl w:val="0"/>
          <w:numId w:val="1012"/>
        </w:numPr>
        <w:pStyle w:val="Compact"/>
      </w:pPr>
      <w:r>
        <w:t xml:space="preserve">active or recently treated cancer requires oncology-aware review;</w:t>
      </w:r>
    </w:p>
    <w:p>
      <w:pPr>
        <w:numPr>
          <w:ilvl w:val="0"/>
          <w:numId w:val="1012"/>
        </w:numPr>
        <w:pStyle w:val="Compact"/>
      </w:pPr>
      <w:r>
        <w:t xml:space="preserve">tumor type, treatment mechanism and timing matter;</w:t>
      </w:r>
    </w:p>
    <w:p>
      <w:pPr>
        <w:numPr>
          <w:ilvl w:val="0"/>
          <w:numId w:val="1012"/>
        </w:numPr>
        <w:pStyle w:val="Compact"/>
      </w:pPr>
      <w:r>
        <w:t xml:space="preserve">NAD-directed interventions should not be represented as inherently</w:t>
      </w:r>
      <w:r>
        <w:t xml:space="preserve"> </w:t>
      </w:r>
      <w:r>
        <w:t xml:space="preserve">pro-cancer or inherently anti-cancer;</w:t>
      </w:r>
    </w:p>
    <w:p>
      <w:pPr>
        <w:numPr>
          <w:ilvl w:val="0"/>
          <w:numId w:val="1012"/>
        </w:numPr>
        <w:pStyle w:val="Compact"/>
      </w:pPr>
      <w:r>
        <w:t xml:space="preserve">concurrent use with cytotoxic, PARP-directed or metabolically targeted</w:t>
      </w:r>
      <w:r>
        <w:t xml:space="preserve"> </w:t>
      </w:r>
      <w:r>
        <w:t xml:space="preserve">therapy requires explicit mechanistic consideration;</w:t>
      </w:r>
    </w:p>
    <w:p>
      <w:pPr>
        <w:numPr>
          <w:ilvl w:val="0"/>
          <w:numId w:val="1012"/>
        </w:numPr>
        <w:pStyle w:val="Compact"/>
      </w:pPr>
      <w:r>
        <w:t xml:space="preserve">uncertainty should lead to individualized risk analysis, not</w:t>
      </w:r>
      <w:r>
        <w:t xml:space="preserve"> </w:t>
      </w:r>
      <w:r>
        <w:t xml:space="preserve">slogan-level fear.</w:t>
      </w:r>
    </w:p>
    <w:p>
      <w:pPr>
        <w:pStyle w:val="FirstParagraph"/>
      </w:pPr>
      <w:r>
        <w:t xml:space="preserve">This position is more scientifically defensible than either automatic</w:t>
      </w:r>
      <w:r>
        <w:t xml:space="preserve"> </w:t>
      </w:r>
      <w:r>
        <w:t xml:space="preserve">exclusion or blanket reassurance.</w:t>
      </w:r>
    </w:p>
    <w:bookmarkEnd w:id="73"/>
    <w:bookmarkStart w:id="74" w:name="X65541a240c2f121ac47060e93c1123e851deca6"/>
    <w:p>
      <w:pPr>
        <w:pStyle w:val="Heading2"/>
      </w:pPr>
      <w:r>
        <w:t xml:space="preserve">14. Compounded preparation as part of the scientific intervention</w:t>
      </w:r>
    </w:p>
    <w:p>
      <w:pPr>
        <w:pStyle w:val="FirstParagraph"/>
      </w:pPr>
      <w:r>
        <w:t xml:space="preserve">A clinical conclusion is uninterpretable if the administered material is</w:t>
      </w:r>
      <w:r>
        <w:t xml:space="preserve"> </w:t>
      </w:r>
      <w:r>
        <w:t xml:space="preserve">not adequately characterized. Preparation quality is therefore not</w:t>
      </w:r>
      <w:r>
        <w:t xml:space="preserve"> </w:t>
      </w:r>
      <w:r>
        <w:t xml:space="preserve">administrative decoration; it is part of causal inference.</w:t>
      </w:r>
    </w:p>
    <w:p>
      <w:pPr>
        <w:pStyle w:val="BodyText"/>
      </w:pPr>
      <w:r>
        <w:t xml:space="preserve">For a patient-specific compounded NAD-related preparation, the minimum</w:t>
      </w:r>
      <w:r>
        <w:t xml:space="preserve"> </w:t>
      </w:r>
      <w:r>
        <w:t xml:space="preserve">scientific record should include:</w:t>
      </w:r>
    </w:p>
    <w:p>
      <w:pPr>
        <w:numPr>
          <w:ilvl w:val="0"/>
          <w:numId w:val="1013"/>
        </w:numPr>
        <w:pStyle w:val="Compact"/>
      </w:pPr>
      <w:r>
        <w:t xml:space="preserve">supplier and chain of custody;</w:t>
      </w:r>
    </w:p>
    <w:p>
      <w:pPr>
        <w:numPr>
          <w:ilvl w:val="0"/>
          <w:numId w:val="1013"/>
        </w:numPr>
        <w:pStyle w:val="Compact"/>
      </w:pPr>
      <w:r>
        <w:t xml:space="preserve">batch and lot identity;</w:t>
      </w:r>
    </w:p>
    <w:p>
      <w:pPr>
        <w:numPr>
          <w:ilvl w:val="0"/>
          <w:numId w:val="1013"/>
        </w:numPr>
        <w:pStyle w:val="Compact"/>
      </w:pPr>
      <w:r>
        <w:t xml:space="preserve">certificate of analysis linked to the lot;</w:t>
      </w:r>
    </w:p>
    <w:p>
      <w:pPr>
        <w:numPr>
          <w:ilvl w:val="0"/>
          <w:numId w:val="1013"/>
        </w:numPr>
        <w:pStyle w:val="Compact"/>
      </w:pPr>
      <w:r>
        <w:t xml:space="preserve">identity testing and quantitative assay;</w:t>
      </w:r>
    </w:p>
    <w:p>
      <w:pPr>
        <w:numPr>
          <w:ilvl w:val="0"/>
          <w:numId w:val="1013"/>
        </w:numPr>
        <w:pStyle w:val="Compact"/>
      </w:pPr>
      <w:r>
        <w:t xml:space="preserve">impurity profile and relevant residuals;</w:t>
      </w:r>
    </w:p>
    <w:p>
      <w:pPr>
        <w:numPr>
          <w:ilvl w:val="0"/>
          <w:numId w:val="1013"/>
        </w:numPr>
        <w:pStyle w:val="Compact"/>
      </w:pPr>
      <w:r>
        <w:t xml:space="preserve">sterility and endotoxin controls for parenteral material;</w:t>
      </w:r>
    </w:p>
    <w:p>
      <w:pPr>
        <w:numPr>
          <w:ilvl w:val="0"/>
          <w:numId w:val="1013"/>
        </w:numPr>
        <w:pStyle w:val="Compact"/>
      </w:pPr>
      <w:r>
        <w:t xml:space="preserve">storage conditions, light protection and temperature history;</w:t>
      </w:r>
    </w:p>
    <w:p>
      <w:pPr>
        <w:numPr>
          <w:ilvl w:val="0"/>
          <w:numId w:val="1013"/>
        </w:numPr>
        <w:pStyle w:val="Compact"/>
      </w:pPr>
      <w:r>
        <w:t xml:space="preserve">reconstitution record, diluent, final concentration and beyond-use</w:t>
      </w:r>
      <w:r>
        <w:t xml:space="preserve"> </w:t>
      </w:r>
      <w:r>
        <w:t xml:space="preserve">logic;</w:t>
      </w:r>
    </w:p>
    <w:p>
      <w:pPr>
        <w:numPr>
          <w:ilvl w:val="0"/>
          <w:numId w:val="1013"/>
        </w:numPr>
        <w:pStyle w:val="Compact"/>
      </w:pPr>
      <w:r>
        <w:t xml:space="preserve">visual inspection and release by an authorized pharmacy professional;</w:t>
      </w:r>
    </w:p>
    <w:p>
      <w:pPr>
        <w:numPr>
          <w:ilvl w:val="0"/>
          <w:numId w:val="1013"/>
        </w:numPr>
        <w:pStyle w:val="Compact"/>
      </w:pPr>
      <w:r>
        <w:t xml:space="preserve">exact administered dose, rate, timing and any interruption;</w:t>
      </w:r>
    </w:p>
    <w:p>
      <w:pPr>
        <w:numPr>
          <w:ilvl w:val="0"/>
          <w:numId w:val="1013"/>
        </w:numPr>
        <w:pStyle w:val="Compact"/>
      </w:pPr>
      <w:r>
        <w:t xml:space="preserve">adverse-event and response record linked longitudinally to the same</w:t>
      </w:r>
      <w:r>
        <w:t xml:space="preserve"> </w:t>
      </w:r>
      <w:r>
        <w:t xml:space="preserve">batch.</w:t>
      </w:r>
    </w:p>
    <w:p>
      <w:pPr>
        <w:pStyle w:val="FirstParagraph"/>
      </w:pPr>
      <w:r>
        <w:t xml:space="preserve">The certificate of analysis should not be treated as a decorative PDF.</w:t>
      </w:r>
      <w:r>
        <w:t xml:space="preserve"> </w:t>
      </w:r>
      <w:r>
        <w:t xml:space="preserve">Its analyte identity, method, acceptance limits, laboratory, date and</w:t>
      </w:r>
      <w:r>
        <w:t xml:space="preserve"> </w:t>
      </w:r>
      <w:r>
        <w:t xml:space="preserve">batch linkage must be readable and auditable. A generic certificate or a</w:t>
      </w:r>
      <w:r>
        <w:t xml:space="preserve"> </w:t>
      </w:r>
      <w:r>
        <w:t xml:space="preserve">document not linked to the administered lot cannot establish product</w:t>
      </w:r>
      <w:r>
        <w:t xml:space="preserve"> </w:t>
      </w:r>
      <w:r>
        <w:t xml:space="preserve">identity.</w:t>
      </w:r>
    </w:p>
    <w:p>
      <w:pPr>
        <w:pStyle w:val="BodyText"/>
      </w:pPr>
      <w:r>
        <w:t xml:space="preserve">When Clinic Terrain sources and compounds a preparation, this</w:t>
      </w:r>
      <w:r>
        <w:t xml:space="preserve"> </w:t>
      </w:r>
      <w:r>
        <w:t xml:space="preserve">traceability permits the clinical record to connect observed</w:t>
      </w:r>
      <w:r>
        <w:t xml:space="preserve"> </w:t>
      </w:r>
      <w:r>
        <w:t xml:space="preserve">tolerability or effect to a defined material. That is scientifically</w:t>
      </w:r>
      <w:r>
        <w:t xml:space="preserve"> </w:t>
      </w:r>
      <w:r>
        <w:t xml:space="preserve">superior to reasoning from an unnamed “NAD drip.”</w:t>
      </w:r>
    </w:p>
    <w:bookmarkEnd w:id="74"/>
    <w:bookmarkStart w:id="79" w:name="Xa60593e5c5787fa90f76f2f4260a59fca50270a"/>
    <w:p>
      <w:pPr>
        <w:pStyle w:val="Heading2"/>
      </w:pPr>
      <w:r>
        <w:t xml:space="preserve">15. Measurement and longitudinal falsification</w:t>
      </w:r>
    </w:p>
    <w:p>
      <w:pPr>
        <w:pStyle w:val="FirstParagraph"/>
      </w:pPr>
      <w:r>
        <w:t xml:space="preserve">Sections 15 and 16 translate the mechanistic framework into prospective</w:t>
      </w:r>
      <w:r>
        <w:t xml:space="preserve"> </w:t>
      </w:r>
      <w:r>
        <w:t xml:space="preserve">observation: predefined hypotheses, measurable outcomes, temporal</w:t>
      </w:r>
      <w:r>
        <w:t xml:space="preserve"> </w:t>
      </w:r>
      <w:r>
        <w:t xml:space="preserve">attribution, counterfactual assessment and explicit stopping rules. They</w:t>
      </w:r>
      <w:r>
        <w:t xml:space="preserve"> </w:t>
      </w:r>
      <w:r>
        <w:t xml:space="preserve">are included because reproducible observation is part of the scientific</w:t>
      </w:r>
      <w:r>
        <w:t xml:space="preserve"> </w:t>
      </w:r>
      <w:r>
        <w:t xml:space="preserve">method, not as an administrative or commercial workflow.</w:t>
      </w:r>
    </w:p>
    <w:bookmarkStart w:id="75" w:name="X463d8a61d894dbd70dc861d774fe02883a513b4"/>
    <w:p>
      <w:pPr>
        <w:pStyle w:val="Heading3"/>
      </w:pPr>
      <w:r>
        <w:t xml:space="preserve">15.1 Baseline model</w:t>
      </w:r>
    </w:p>
    <w:p>
      <w:pPr>
        <w:pStyle w:val="FirstParagraph"/>
      </w:pPr>
      <w:r>
        <w:t xml:space="preserve">The baseline should be hypothesis-driven rather than an indiscriminate</w:t>
      </w:r>
      <w:r>
        <w:t xml:space="preserve"> </w:t>
      </w:r>
      <w:r>
        <w:t xml:space="preserve">panel. Depending on phenotype, relevant domains may include:</w:t>
      </w:r>
    </w:p>
    <w:p>
      <w:pPr>
        <w:numPr>
          <w:ilvl w:val="0"/>
          <w:numId w:val="1014"/>
        </w:numPr>
        <w:pStyle w:val="Compact"/>
      </w:pPr>
      <w:r>
        <w:t xml:space="preserve">complete blood count, iron indices and B12/folate context;</w:t>
      </w:r>
    </w:p>
    <w:p>
      <w:pPr>
        <w:numPr>
          <w:ilvl w:val="0"/>
          <w:numId w:val="1014"/>
        </w:numPr>
        <w:pStyle w:val="Compact"/>
      </w:pPr>
      <w:r>
        <w:t xml:space="preserve">renal and hepatic function;</w:t>
      </w:r>
    </w:p>
    <w:p>
      <w:pPr>
        <w:numPr>
          <w:ilvl w:val="0"/>
          <w:numId w:val="1014"/>
        </w:numPr>
        <w:pStyle w:val="Compact"/>
      </w:pPr>
      <w:r>
        <w:t xml:space="preserve">fasting glucose, insulin, HbA1c and lipid profile;</w:t>
      </w:r>
    </w:p>
    <w:p>
      <w:pPr>
        <w:numPr>
          <w:ilvl w:val="0"/>
          <w:numId w:val="1014"/>
        </w:numPr>
        <w:pStyle w:val="Compact"/>
      </w:pPr>
      <w:r>
        <w:t xml:space="preserve">thyroid function;</w:t>
      </w:r>
    </w:p>
    <w:p>
      <w:pPr>
        <w:numPr>
          <w:ilvl w:val="0"/>
          <w:numId w:val="1014"/>
        </w:numPr>
        <w:pStyle w:val="Compact"/>
      </w:pPr>
      <w:r>
        <w:t xml:space="preserve">inflammatory markers interpreted in context;</w:t>
      </w:r>
    </w:p>
    <w:p>
      <w:pPr>
        <w:numPr>
          <w:ilvl w:val="0"/>
          <w:numId w:val="1014"/>
        </w:numPr>
        <w:pStyle w:val="Compact"/>
      </w:pPr>
      <w:r>
        <w:t xml:space="preserve">homocysteine when methyl-donor support is contemplated;</w:t>
      </w:r>
    </w:p>
    <w:p>
      <w:pPr>
        <w:numPr>
          <w:ilvl w:val="0"/>
          <w:numId w:val="1014"/>
        </w:numPr>
        <w:pStyle w:val="Compact"/>
      </w:pPr>
      <w:r>
        <w:t xml:space="preserve">sleep, activity and recovery data;</w:t>
      </w:r>
    </w:p>
    <w:p>
      <w:pPr>
        <w:numPr>
          <w:ilvl w:val="0"/>
          <w:numId w:val="1014"/>
        </w:numPr>
        <w:pStyle w:val="Compact"/>
      </w:pPr>
      <w:r>
        <w:t xml:space="preserve">standardized symptom and functional measures;</w:t>
      </w:r>
    </w:p>
    <w:p>
      <w:pPr>
        <w:numPr>
          <w:ilvl w:val="0"/>
          <w:numId w:val="1014"/>
        </w:numPr>
        <w:pStyle w:val="Compact"/>
      </w:pPr>
      <w:r>
        <w:t xml:space="preserve">NAD metabolome or related research measurements when available and</w:t>
      </w:r>
      <w:r>
        <w:t xml:space="preserve"> </w:t>
      </w:r>
      <w:r>
        <w:t xml:space="preserve">analytically credible.</w:t>
      </w:r>
    </w:p>
    <w:bookmarkEnd w:id="75"/>
    <w:bookmarkStart w:id="76" w:name="Xd9961e0dbf38f0b0aa6c60682f9887d0c183396"/>
    <w:p>
      <w:pPr>
        <w:pStyle w:val="Heading3"/>
      </w:pPr>
      <w:r>
        <w:t xml:space="preserve">15.2 Acute infusion record</w:t>
      </w:r>
    </w:p>
    <w:p>
      <w:pPr>
        <w:pStyle w:val="FirstParagraph"/>
      </w:pPr>
      <w:r>
        <w:t xml:space="preserve">The record should capture formulation, lot, concentration, dose, start</w:t>
      </w:r>
      <w:r>
        <w:t xml:space="preserve"> </w:t>
      </w:r>
      <w:r>
        <w:t xml:space="preserve">and stop time, rate changes, vital signs, symptoms, interventions and</w:t>
      </w:r>
      <w:r>
        <w:t xml:space="preserve"> </w:t>
      </w:r>
      <w:r>
        <w:t xml:space="preserve">recovery. “Tolerated well” is inadequate if clinically relevant rate</w:t>
      </w:r>
      <w:r>
        <w:t xml:space="preserve"> </w:t>
      </w:r>
      <w:r>
        <w:t xml:space="preserve">changes occurred.</w:t>
      </w:r>
    </w:p>
    <w:bookmarkEnd w:id="76"/>
    <w:bookmarkStart w:id="77" w:name="Xfed1a37ae8add9db2d0864323ad52f5e8d3ddda"/>
    <w:p>
      <w:pPr>
        <w:pStyle w:val="Heading3"/>
      </w:pPr>
      <w:r>
        <w:t xml:space="preserve">15.3 Response hierarchy</w:t>
      </w:r>
    </w:p>
    <w:p>
      <w:pPr>
        <w:numPr>
          <w:ilvl w:val="0"/>
          <w:numId w:val="1015"/>
        </w:numPr>
        <w:pStyle w:val="Compact"/>
      </w:pPr>
      <w:r>
        <w:rPr>
          <w:bCs/>
          <w:b/>
        </w:rPr>
        <w:t xml:space="preserve">Exposure confirmed:</w:t>
      </w:r>
      <w:r>
        <w:t xml:space="preserve"> </w:t>
      </w:r>
      <w:r>
        <w:t xml:space="preserve">the intended material and dose were</w:t>
      </w:r>
      <w:r>
        <w:t xml:space="preserve"> </w:t>
      </w:r>
      <w:r>
        <w:t xml:space="preserve">delivered.</w:t>
      </w:r>
    </w:p>
    <w:p>
      <w:pPr>
        <w:numPr>
          <w:ilvl w:val="0"/>
          <w:numId w:val="1015"/>
        </w:numPr>
        <w:pStyle w:val="Compact"/>
      </w:pPr>
      <w:r>
        <w:rPr>
          <w:bCs/>
          <w:b/>
        </w:rPr>
        <w:t xml:space="preserve">Biochemical engagement:</w:t>
      </w:r>
      <w:r>
        <w:t xml:space="preserve"> </w:t>
      </w:r>
      <w:r>
        <w:t xml:space="preserve">the relevant metabolite or proxy</w:t>
      </w:r>
      <w:r>
        <w:t xml:space="preserve"> </w:t>
      </w:r>
      <w:r>
        <w:t xml:space="preserve">changed.</w:t>
      </w:r>
    </w:p>
    <w:p>
      <w:pPr>
        <w:numPr>
          <w:ilvl w:val="0"/>
          <w:numId w:val="1015"/>
        </w:numPr>
        <w:pStyle w:val="Compact"/>
      </w:pPr>
      <w:r>
        <w:rPr>
          <w:bCs/>
          <w:b/>
        </w:rPr>
        <w:t xml:space="preserve">Functional engagement:</w:t>
      </w:r>
      <w:r>
        <w:t xml:space="preserve"> </w:t>
      </w:r>
      <w:r>
        <w:t xml:space="preserve">physiology or performance changed.</w:t>
      </w:r>
    </w:p>
    <w:p>
      <w:pPr>
        <w:numPr>
          <w:ilvl w:val="0"/>
          <w:numId w:val="1015"/>
        </w:numPr>
        <w:pStyle w:val="Compact"/>
      </w:pPr>
      <w:r>
        <w:rPr>
          <w:bCs/>
          <w:b/>
        </w:rPr>
        <w:t xml:space="preserve">Patient benefit:</w:t>
      </w:r>
      <w:r>
        <w:t xml:space="preserve"> </w:t>
      </w:r>
      <w:r>
        <w:t xml:space="preserve">the target symptom or capability improved</w:t>
      </w:r>
      <w:r>
        <w:t xml:space="preserve"> </w:t>
      </w:r>
      <w:r>
        <w:t xml:space="preserve">meaningfully.</w:t>
      </w:r>
    </w:p>
    <w:p>
      <w:pPr>
        <w:numPr>
          <w:ilvl w:val="0"/>
          <w:numId w:val="1015"/>
        </w:numPr>
        <w:pStyle w:val="Compact"/>
      </w:pPr>
      <w:r>
        <w:rPr>
          <w:bCs/>
          <w:b/>
        </w:rPr>
        <w:t xml:space="preserve">Durability:</w:t>
      </w:r>
      <w:r>
        <w:t xml:space="preserve"> </w:t>
      </w:r>
      <w:r>
        <w:t xml:space="preserve">improvement persisted beyond an acute nonspecific</w:t>
      </w:r>
      <w:r>
        <w:t xml:space="preserve"> </w:t>
      </w:r>
      <w:r>
        <w:t xml:space="preserve">effect.</w:t>
      </w:r>
    </w:p>
    <w:bookmarkEnd w:id="77"/>
    <w:bookmarkStart w:id="78" w:name="Xfe1d2be4e93da32ce3fed182bf6cfabb89cd398"/>
    <w:p>
      <w:pPr>
        <w:pStyle w:val="Heading3"/>
      </w:pPr>
      <w:r>
        <w:t xml:space="preserve">15.4 Falsifiers</w:t>
      </w:r>
    </w:p>
    <w:p>
      <w:pPr>
        <w:pStyle w:val="FirstParagraph"/>
      </w:pPr>
      <w:r>
        <w:t xml:space="preserve">The working hypothesis should be revised when:</w:t>
      </w:r>
    </w:p>
    <w:p>
      <w:pPr>
        <w:numPr>
          <w:ilvl w:val="0"/>
          <w:numId w:val="1016"/>
        </w:numPr>
        <w:pStyle w:val="Compact"/>
      </w:pPr>
      <w:r>
        <w:t xml:space="preserve">repeated adequately delivered exposures produce no target response;</w:t>
      </w:r>
    </w:p>
    <w:p>
      <w:pPr>
        <w:numPr>
          <w:ilvl w:val="0"/>
          <w:numId w:val="1016"/>
        </w:numPr>
        <w:pStyle w:val="Compact"/>
      </w:pPr>
      <w:r>
        <w:t xml:space="preserve">only a transient subjective effect occurs without functional or</w:t>
      </w:r>
      <w:r>
        <w:t xml:space="preserve"> </w:t>
      </w:r>
      <w:r>
        <w:t xml:space="preserve">durable change;</w:t>
      </w:r>
    </w:p>
    <w:p>
      <w:pPr>
        <w:numPr>
          <w:ilvl w:val="0"/>
          <w:numId w:val="1016"/>
        </w:numPr>
        <w:pStyle w:val="Compact"/>
      </w:pPr>
      <w:r>
        <w:t xml:space="preserve">biomarkers move without the predicted physiological effect;</w:t>
      </w:r>
    </w:p>
    <w:p>
      <w:pPr>
        <w:numPr>
          <w:ilvl w:val="0"/>
          <w:numId w:val="1016"/>
        </w:numPr>
        <w:pStyle w:val="Compact"/>
      </w:pPr>
      <w:r>
        <w:t xml:space="preserve">adverse effects outweigh the target benefit;</w:t>
      </w:r>
    </w:p>
    <w:p>
      <w:pPr>
        <w:numPr>
          <w:ilvl w:val="0"/>
          <w:numId w:val="1016"/>
        </w:numPr>
        <w:pStyle w:val="Compact"/>
      </w:pPr>
      <w:r>
        <w:t xml:space="preserve">a competing diagnosis better explains the phenotype;</w:t>
      </w:r>
    </w:p>
    <w:p>
      <w:pPr>
        <w:numPr>
          <w:ilvl w:val="0"/>
          <w:numId w:val="1016"/>
        </w:numPr>
        <w:pStyle w:val="Compact"/>
      </w:pPr>
      <w:r>
        <w:t xml:space="preserve">escalating complexity is required to preserve a weak initial story;</w:t>
      </w:r>
    </w:p>
    <w:p>
      <w:pPr>
        <w:numPr>
          <w:ilvl w:val="0"/>
          <w:numId w:val="1016"/>
        </w:numPr>
        <w:pStyle w:val="Compact"/>
      </w:pPr>
      <w:r>
        <w:t xml:space="preserve">the patient improves when another identified bottleneck is corrected,</w:t>
      </w:r>
      <w:r>
        <w:t xml:space="preserve"> </w:t>
      </w:r>
      <w:r>
        <w:t xml:space="preserve">independent of NAD-directed exposure.</w:t>
      </w:r>
    </w:p>
    <w:p>
      <w:pPr>
        <w:pStyle w:val="FirstParagraph"/>
      </w:pPr>
      <w:r>
        <w:t xml:space="preserve">Failure to respond is information. It should narrow the model rather</w:t>
      </w:r>
      <w:r>
        <w:t xml:space="preserve"> </w:t>
      </w:r>
      <w:r>
        <w:t xml:space="preserve">than trigger automatic dose escalation.</w:t>
      </w:r>
    </w:p>
    <w:bookmarkEnd w:id="78"/>
    <w:bookmarkEnd w:id="79"/>
    <w:bookmarkStart w:id="86" w:name="Xeb3cd825e46018a703adc206ef2cab6b2db1252"/>
    <w:p>
      <w:pPr>
        <w:pStyle w:val="Heading2"/>
      </w:pPr>
      <w:r>
        <w:t xml:space="preserve">16. Prospective clinical intelligence protocol</w:t>
      </w:r>
    </w:p>
    <w:bookmarkStart w:id="80" w:name="X71d5a0b6a92101c8369befbfb82cce35a32286d"/>
    <w:p>
      <w:pPr>
        <w:pStyle w:val="Heading3"/>
      </w:pPr>
      <w:r>
        <w:t xml:space="preserve">16.1 Purpose</w:t>
      </w:r>
    </w:p>
    <w:p>
      <w:pPr>
        <w:pStyle w:val="FirstParagraph"/>
      </w:pPr>
      <w:r>
        <w:t xml:space="preserve">Clinic Terrain's clinical intelligence system should convert routine</w:t>
      </w:r>
      <w:r>
        <w:t xml:space="preserve"> </w:t>
      </w:r>
      <w:r>
        <w:t xml:space="preserve">care into analysis-ready longitudinal evidence without representing</w:t>
      </w:r>
      <w:r>
        <w:t xml:space="preserve"> </w:t>
      </w:r>
      <w:r>
        <w:t xml:space="preserve">observation as randomization. The purpose is to determine which baseline</w:t>
      </w:r>
      <w:r>
        <w:t xml:space="preserve"> </w:t>
      </w:r>
      <w:r>
        <w:t xml:space="preserve">configurations, routes and dose-rate patterns are associated with</w:t>
      </w:r>
      <w:r>
        <w:t xml:space="preserve"> </w:t>
      </w:r>
      <w:r>
        <w:t xml:space="preserve">reproducible benefit, non-response or intolerance, and to expose the</w:t>
      </w:r>
      <w:r>
        <w:t xml:space="preserve"> </w:t>
      </w:r>
      <w:r>
        <w:t xml:space="preserve">hypotheses that fail.</w:t>
      </w:r>
    </w:p>
    <w:bookmarkEnd w:id="80"/>
    <w:bookmarkStart w:id="81" w:name="X9eb9adbb190a4a26b70683997e5fc113e5a12aa"/>
    <w:p>
      <w:pPr>
        <w:pStyle w:val="Heading3"/>
      </w:pPr>
      <w:r>
        <w:t xml:space="preserve">16.2 Minimum prospective dataset</w:t>
      </w:r>
    </w:p>
    <w:p>
      <w:pPr>
        <w:pStyle w:val="FirstParagraph"/>
      </w:pPr>
      <w:r>
        <w:t xml:space="preserve">Each patient episode should contain five linked layers:</w:t>
      </w:r>
    </w:p>
    <w:p>
      <w:pPr>
        <w:numPr>
          <w:ilvl w:val="0"/>
          <w:numId w:val="1017"/>
        </w:numPr>
        <w:pStyle w:val="Compact"/>
      </w:pPr>
      <w:r>
        <w:rPr>
          <w:bCs/>
          <w:b/>
        </w:rPr>
        <w:t xml:space="preserve">Baseline terrain:</w:t>
      </w:r>
      <w:r>
        <w:t xml:space="preserve"> </w:t>
      </w:r>
      <w:r>
        <w:t xml:space="preserve">indication, duration and severity; competing</w:t>
      </w:r>
      <w:r>
        <w:t xml:space="preserve"> </w:t>
      </w:r>
      <w:r>
        <w:t xml:space="preserve">diagnoses; sleep, nutrition, alcohol, activity and recent infection;</w:t>
      </w:r>
      <w:r>
        <w:t xml:space="preserve"> </w:t>
      </w:r>
      <w:r>
        <w:t xml:space="preserve">medication and supplement exposure; hepatic, renal, hematologic,</w:t>
      </w:r>
      <w:r>
        <w:t xml:space="preserve"> </w:t>
      </w:r>
      <w:r>
        <w:t xml:space="preserve">thyroid, glycemic and methylation-relevant context.</w:t>
      </w:r>
    </w:p>
    <w:p>
      <w:pPr>
        <w:numPr>
          <w:ilvl w:val="0"/>
          <w:numId w:val="1017"/>
        </w:numPr>
        <w:pStyle w:val="Compact"/>
      </w:pPr>
      <w:r>
        <w:rPr>
          <w:bCs/>
          <w:b/>
        </w:rPr>
        <w:t xml:space="preserve">Intervention identity:</w:t>
      </w:r>
      <w:r>
        <w:t xml:space="preserve"> </w:t>
      </w:r>
      <w:r>
        <w:t xml:space="preserve">source, lot, CoA linkage, assay,</w:t>
      </w:r>
      <w:r>
        <w:t xml:space="preserve"> </w:t>
      </w:r>
      <w:r>
        <w:t xml:space="preserve">preparation record, diluent, concentration, dose, route, rate,</w:t>
      </w:r>
      <w:r>
        <w:t xml:space="preserve"> </w:t>
      </w:r>
      <w:r>
        <w:t xml:space="preserve">timing, co-interventions and any rate interruption.</w:t>
      </w:r>
    </w:p>
    <w:p>
      <w:pPr>
        <w:numPr>
          <w:ilvl w:val="0"/>
          <w:numId w:val="1017"/>
        </w:numPr>
        <w:pStyle w:val="Compact"/>
      </w:pPr>
      <w:r>
        <w:rPr>
          <w:bCs/>
          <w:b/>
        </w:rPr>
        <w:t xml:space="preserve">Immediate pharmacology:</w:t>
      </w:r>
      <w:r>
        <w:t xml:space="preserve"> </w:t>
      </w:r>
      <w:r>
        <w:t xml:space="preserve">vital signs, symptom onset and</w:t>
      </w:r>
      <w:r>
        <w:t xml:space="preserve"> </w:t>
      </w:r>
      <w:r>
        <w:t xml:space="preserve">resolution, rate relationship, rescue measures and time to</w:t>
      </w:r>
      <w:r>
        <w:t xml:space="preserve"> </w:t>
      </w:r>
      <w:r>
        <w:t xml:space="preserve">discharge.</w:t>
      </w:r>
    </w:p>
    <w:p>
      <w:pPr>
        <w:numPr>
          <w:ilvl w:val="0"/>
          <w:numId w:val="1017"/>
        </w:numPr>
        <w:pStyle w:val="Compact"/>
      </w:pPr>
      <w:r>
        <w:rPr>
          <w:bCs/>
          <w:b/>
        </w:rPr>
        <w:t xml:space="preserve">Target outcomes:</w:t>
      </w:r>
      <w:r>
        <w:t xml:space="preserve"> </w:t>
      </w:r>
      <w:r>
        <w:t xml:space="preserve">one primary patient-relevant outcome selected</w:t>
      </w:r>
      <w:r>
        <w:t xml:space="preserve"> </w:t>
      </w:r>
      <w:r>
        <w:t xml:space="preserve">before exposure; secondary functional and biochemical outcomes;</w:t>
      </w:r>
      <w:r>
        <w:t xml:space="preserve"> </w:t>
      </w:r>
      <w:r>
        <w:t xml:space="preserve">measurement instrument and clinically meaningful threshold.</w:t>
      </w:r>
    </w:p>
    <w:p>
      <w:pPr>
        <w:numPr>
          <w:ilvl w:val="0"/>
          <w:numId w:val="1017"/>
        </w:numPr>
        <w:pStyle w:val="Compact"/>
      </w:pPr>
      <w:r>
        <w:rPr>
          <w:bCs/>
          <w:b/>
        </w:rPr>
        <w:t xml:space="preserve">Longitudinal state:</w:t>
      </w:r>
      <w:r>
        <w:t xml:space="preserve"> </w:t>
      </w:r>
      <w:r>
        <w:t xml:space="preserve">follow-up at predefined intervals,</w:t>
      </w:r>
      <w:r>
        <w:t xml:space="preserve"> </w:t>
      </w:r>
      <w:r>
        <w:t xml:space="preserve">durability, adherence to oral continuity, adverse events, changes in</w:t>
      </w:r>
      <w:r>
        <w:t xml:space="preserve"> </w:t>
      </w:r>
      <w:r>
        <w:t xml:space="preserve">drain variables, withdrawal and rechallenge where clinically</w:t>
      </w:r>
      <w:r>
        <w:t xml:space="preserve"> </w:t>
      </w:r>
      <w:r>
        <w:t xml:space="preserve">appropriate.</w:t>
      </w:r>
    </w:p>
    <w:bookmarkEnd w:id="81"/>
    <w:bookmarkStart w:id="82" w:name="X232cb169aa0eb6672707f0d2fde7cdaec5f7e2b"/>
    <w:p>
      <w:pPr>
        <w:pStyle w:val="Heading3"/>
      </w:pPr>
      <w:r>
        <w:t xml:space="preserve">16.3 Consultation depth</w:t>
      </w:r>
    </w:p>
    <w:p>
      <w:pPr>
        <w:pStyle w:val="FirstParagraph"/>
      </w:pPr>
      <w:r>
        <w:t xml:space="preserve">A transactional episode records exposure and safety. A light</w:t>
      </w:r>
      <w:r>
        <w:t xml:space="preserve"> </w:t>
      </w:r>
      <w:r>
        <w:t xml:space="preserve">consultation adds a bounded indication, common competing causes and a</w:t>
      </w:r>
      <w:r>
        <w:t xml:space="preserve"> </w:t>
      </w:r>
      <w:r>
        <w:t xml:space="preserve">target outcome. A deep consultation builds the full mechanistic</w:t>
      </w:r>
      <w:r>
        <w:t xml:space="preserve"> </w:t>
      </w:r>
      <w:r>
        <w:t xml:space="preserve">hypothesis, compartment and drain model, laboratory context,</w:t>
      </w:r>
      <w:r>
        <w:t xml:space="preserve"> </w:t>
      </w:r>
      <w:r>
        <w:t xml:space="preserve">longitudinal plan and stopping rules. The software should label</w:t>
      </w:r>
      <w:r>
        <w:t xml:space="preserve"> </w:t>
      </w:r>
      <w:r>
        <w:t xml:space="preserve">consultation depth explicitly so that analytic confidence is not</w:t>
      </w:r>
      <w:r>
        <w:t xml:space="preserve"> </w:t>
      </w:r>
      <w:r>
        <w:t xml:space="preserve">inflated by sparse records.</w:t>
      </w:r>
    </w:p>
    <w:bookmarkEnd w:id="82"/>
    <w:bookmarkStart w:id="83" w:name="X8716a00f3ee89d7b4e93bad49a47737b486adea"/>
    <w:p>
      <w:pPr>
        <w:pStyle w:val="Heading3"/>
      </w:pPr>
      <w:r>
        <w:t xml:space="preserve">16.4 Predefined response classes</w:t>
      </w:r>
    </w:p>
    <w:p>
      <w:pPr>
        <w:numPr>
          <w:ilvl w:val="0"/>
          <w:numId w:val="1018"/>
        </w:numPr>
        <w:pStyle w:val="Compact"/>
      </w:pPr>
      <w:r>
        <w:rPr>
          <w:bCs/>
          <w:b/>
        </w:rPr>
        <w:t xml:space="preserve">Biochemical responder only:</w:t>
      </w:r>
      <w:r>
        <w:t xml:space="preserve"> </w:t>
      </w:r>
      <w:r>
        <w:t xml:space="preserve">target metabolite changes without the</w:t>
      </w:r>
      <w:r>
        <w:t xml:space="preserve"> </w:t>
      </w:r>
      <w:r>
        <w:t xml:space="preserve">predefined functional or patient-relevant outcome.</w:t>
      </w:r>
    </w:p>
    <w:p>
      <w:pPr>
        <w:numPr>
          <w:ilvl w:val="0"/>
          <w:numId w:val="1018"/>
        </w:numPr>
        <w:pStyle w:val="Compact"/>
      </w:pPr>
      <w:r>
        <w:rPr>
          <w:bCs/>
          <w:b/>
        </w:rPr>
        <w:t xml:space="preserve">Acute clinical responder:</w:t>
      </w:r>
      <w:r>
        <w:t xml:space="preserve"> </w:t>
      </w:r>
      <w:r>
        <w:t xml:space="preserve">target outcome improves within the</w:t>
      </w:r>
      <w:r>
        <w:t xml:space="preserve"> </w:t>
      </w:r>
      <w:r>
        <w:t xml:space="preserve">exposure window but durability is not established.</w:t>
      </w:r>
    </w:p>
    <w:p>
      <w:pPr>
        <w:numPr>
          <w:ilvl w:val="0"/>
          <w:numId w:val="1018"/>
        </w:numPr>
        <w:pStyle w:val="Compact"/>
      </w:pPr>
      <w:r>
        <w:rPr>
          <w:bCs/>
          <w:b/>
        </w:rPr>
        <w:t xml:space="preserve">Durable responder:</w:t>
      </w:r>
      <w:r>
        <w:t xml:space="preserve"> </w:t>
      </w:r>
      <w:r>
        <w:t xml:space="preserve">improvement exceeds the predefined threshold</w:t>
      </w:r>
      <w:r>
        <w:t xml:space="preserve"> </w:t>
      </w:r>
      <w:r>
        <w:t xml:space="preserve">and persists at follow-up.</w:t>
      </w:r>
    </w:p>
    <w:p>
      <w:pPr>
        <w:numPr>
          <w:ilvl w:val="0"/>
          <w:numId w:val="1018"/>
        </w:numPr>
        <w:pStyle w:val="Compact"/>
      </w:pPr>
      <w:r>
        <w:rPr>
          <w:bCs/>
          <w:b/>
        </w:rPr>
        <w:t xml:space="preserve">Rate-limited responder:</w:t>
      </w:r>
      <w:r>
        <w:t xml:space="preserve"> </w:t>
      </w:r>
      <w:r>
        <w:t xml:space="preserve">potential benefit is accompanied by</w:t>
      </w:r>
      <w:r>
        <w:t xml:space="preserve"> </w:t>
      </w:r>
      <w:r>
        <w:t xml:space="preserve">reproducible rate-dependent intolerance requiring a modified exposure</w:t>
      </w:r>
      <w:r>
        <w:t xml:space="preserve"> </w:t>
      </w:r>
      <w:r>
        <w:t xml:space="preserve">strategy.</w:t>
      </w:r>
    </w:p>
    <w:p>
      <w:pPr>
        <w:numPr>
          <w:ilvl w:val="0"/>
          <w:numId w:val="1018"/>
        </w:numPr>
        <w:pStyle w:val="Compact"/>
      </w:pPr>
      <w:r>
        <w:rPr>
          <w:bCs/>
          <w:b/>
        </w:rPr>
        <w:t xml:space="preserve">Non-responder:</w:t>
      </w:r>
      <w:r>
        <w:t xml:space="preserve"> </w:t>
      </w:r>
      <w:r>
        <w:t xml:space="preserve">adequate exposure without meaningful target</w:t>
      </w:r>
      <w:r>
        <w:t xml:space="preserve"> </w:t>
      </w:r>
      <w:r>
        <w:t xml:space="preserve">response.</w:t>
      </w:r>
    </w:p>
    <w:p>
      <w:pPr>
        <w:numPr>
          <w:ilvl w:val="0"/>
          <w:numId w:val="1018"/>
        </w:numPr>
        <w:pStyle w:val="Compact"/>
      </w:pPr>
      <w:r>
        <w:rPr>
          <w:bCs/>
          <w:b/>
        </w:rPr>
        <w:t xml:space="preserve">Indeterminate:</w:t>
      </w:r>
      <w:r>
        <w:t xml:space="preserve"> </w:t>
      </w:r>
      <w:r>
        <w:t xml:space="preserve">missing data, major co-intervention, adherence</w:t>
      </w:r>
      <w:r>
        <w:t xml:space="preserve"> </w:t>
      </w:r>
      <w:r>
        <w:t xml:space="preserve">failure or uncontrolled competing event prevents attribution.</w:t>
      </w:r>
    </w:p>
    <w:p>
      <w:pPr>
        <w:pStyle w:val="FirstParagraph"/>
      </w:pPr>
      <w:r>
        <w:t xml:space="preserve">These categories must be assigned by deterministic rules defined before</w:t>
      </w:r>
      <w:r>
        <w:t xml:space="preserve"> </w:t>
      </w:r>
      <w:r>
        <w:t xml:space="preserve">aggregate analysis. “Responder” should never mean that any favorable</w:t>
      </w:r>
      <w:r>
        <w:t xml:space="preserve"> </w:t>
      </w:r>
      <w:r>
        <w:t xml:space="preserve">observation was found after inspection.</w:t>
      </w:r>
    </w:p>
    <w:bookmarkEnd w:id="83"/>
    <w:bookmarkStart w:id="84" w:name="X81469584993699501c789fb83468175f69095af"/>
    <w:p>
      <w:pPr>
        <w:pStyle w:val="Heading3"/>
      </w:pPr>
      <w:r>
        <w:t xml:space="preserve">16.5 Causal discipline</w:t>
      </w:r>
    </w:p>
    <w:p>
      <w:pPr>
        <w:pStyle w:val="FirstParagraph"/>
      </w:pPr>
      <w:r>
        <w:t xml:space="preserve">Routine longitudinal data are vulnerable to regression to the mean,</w:t>
      </w:r>
      <w:r>
        <w:t xml:space="preserve"> </w:t>
      </w:r>
      <w:r>
        <w:t xml:space="preserve">expectancy, concurrent treatment, spontaneous recovery and selective</w:t>
      </w:r>
      <w:r>
        <w:t xml:space="preserve"> </w:t>
      </w:r>
      <w:r>
        <w:t xml:space="preserve">follow-up. Clinic Terrain can strengthen inference with repeated</w:t>
      </w:r>
      <w:r>
        <w:t xml:space="preserve"> </w:t>
      </w:r>
      <w:r>
        <w:t xml:space="preserve">baseline measurements, fixed follow-up windows, pre-specified outcome</w:t>
      </w:r>
      <w:r>
        <w:t xml:space="preserve"> </w:t>
      </w:r>
      <w:r>
        <w:t xml:space="preserve">thresholds, within-person interrupted time series,</w:t>
      </w:r>
      <w:r>
        <w:t xml:space="preserve"> </w:t>
      </w:r>
      <w:r>
        <w:t xml:space="preserve">withdrawal/rechallenge when safe, batch linkage, complete non-responder</w:t>
      </w:r>
      <w:r>
        <w:t xml:space="preserve"> </w:t>
      </w:r>
      <w:r>
        <w:t xml:space="preserve">capture and explicit recording of missingness. The system should</w:t>
      </w:r>
      <w:r>
        <w:t xml:space="preserve"> </w:t>
      </w:r>
      <w:r>
        <w:t xml:space="preserve">preserve negative observations with the same fidelity as positive ones.</w:t>
      </w:r>
    </w:p>
    <w:bookmarkEnd w:id="84"/>
    <w:bookmarkStart w:id="85" w:name="X7e9824e4a76e642eb4206814c1a3fc8c24dd501"/>
    <w:p>
      <w:pPr>
        <w:pStyle w:val="Heading3"/>
      </w:pPr>
      <w:r>
        <w:t xml:space="preserve">16.6 Research outputs</w:t>
      </w:r>
    </w:p>
    <w:p>
      <w:pPr>
        <w:pStyle w:val="FirstParagraph"/>
      </w:pPr>
      <w:r>
        <w:t xml:space="preserve">The first defensible publication should be a prospective observational</w:t>
      </w:r>
      <w:r>
        <w:t xml:space="preserve"> </w:t>
      </w:r>
      <w:r>
        <w:t xml:space="preserve">cohort or methods paper, not a retrospective success-rate claim. It</w:t>
      </w:r>
      <w:r>
        <w:t xml:space="preserve"> </w:t>
      </w:r>
      <w:r>
        <w:t xml:space="preserve">should publish the data dictionary, deterministic response definitions,</w:t>
      </w:r>
      <w:r>
        <w:t xml:space="preserve"> </w:t>
      </w:r>
      <w:r>
        <w:t xml:space="preserve">missing-data rules, adverse-event taxonomy and statistical plan before</w:t>
      </w:r>
      <w:r>
        <w:t xml:space="preserve"> </w:t>
      </w:r>
      <w:r>
        <w:t xml:space="preserve">reporting outcomes. Subsequent phenotype-specific analyses can then test</w:t>
      </w:r>
      <w:r>
        <w:t xml:space="preserve"> </w:t>
      </w:r>
      <w:r>
        <w:t xml:space="preserve">hypotheses generated by NAD-5D without converting clinical practice into</w:t>
      </w:r>
      <w:r>
        <w:t xml:space="preserve"> </w:t>
      </w:r>
      <w:r>
        <w:t xml:space="preserve">promotional evidence.</w:t>
      </w:r>
    </w:p>
    <w:bookmarkEnd w:id="85"/>
    <w:bookmarkEnd w:id="86"/>
    <w:bookmarkStart w:id="87" w:name="X60595d9d4cf8f2e631006f2878ccb79dea8f3c7"/>
    <w:p>
      <w:pPr>
        <w:pStyle w:val="Heading2"/>
      </w:pPr>
      <w:r>
        <w:t xml:space="preserve">17. Human evidence atlas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bCs/>
                <w:b/>
              </w:rPr>
              <w:t xml:space="preserve">Intervention</w:t>
            </w:r>
          </w:p>
        </w:tc>
        <w:tc>
          <w:tcPr/>
          <w:p>
            <w:pPr>
              <w:pStyle w:val="Compact"/>
              <w:jc w:val="left"/>
            </w:pPr>
            <w:r>
              <w:rPr>
                <w:bCs/>
                <w:b/>
              </w:rPr>
              <w:t xml:space="preserve">Population and design</w:t>
            </w:r>
          </w:p>
        </w:tc>
        <w:tc>
          <w:tcPr/>
          <w:p>
            <w:pPr>
              <w:pStyle w:val="Compact"/>
              <w:jc w:val="left"/>
            </w:pPr>
            <w:r>
              <w:rPr>
                <w:bCs/>
                <w:b/>
              </w:rPr>
              <w:t xml:space="preserve">Exposure</w:t>
            </w:r>
          </w:p>
        </w:tc>
        <w:tc>
          <w:tcPr/>
          <w:p>
            <w:pPr>
              <w:pStyle w:val="Compact"/>
              <w:jc w:val="left"/>
            </w:pPr>
            <w:r>
              <w:rPr>
                <w:bCs/>
                <w:b/>
              </w:rPr>
              <w:t xml:space="preserve">Directly supported result</w:t>
            </w:r>
          </w:p>
        </w:tc>
        <w:tc>
          <w:tcPr/>
          <w:p>
            <w:pPr>
              <w:pStyle w:val="Compact"/>
              <w:jc w:val="left"/>
            </w:pPr>
            <w:r>
              <w:rPr>
                <w:bCs/>
                <w:b/>
              </w:rPr>
              <w:t xml:space="preserve">Important limitation</w:t>
            </w:r>
          </w:p>
        </w:tc>
      </w:tr>
      <w:tr>
        <w:tc>
          <w:tcPr/>
          <w:p>
            <w:pPr>
              <w:pStyle w:val="Compact"/>
              <w:jc w:val="left"/>
            </w:pPr>
            <w:r>
              <w:t xml:space="preserve">IV NAD+ [6]</w:t>
            </w:r>
          </w:p>
        </w:tc>
        <w:tc>
          <w:tcPr/>
          <w:p>
            <w:pPr>
              <w:pStyle w:val="Compact"/>
              <w:jc w:val="left"/>
            </w:pPr>
            <w:r>
              <w:t xml:space="preserve">8 adults; open metabolomic pilot</w:t>
            </w:r>
          </w:p>
        </w:tc>
        <w:tc>
          <w:tcPr/>
          <w:p>
            <w:pPr>
              <w:pStyle w:val="Compact"/>
              <w:jc w:val="left"/>
            </w:pPr>
            <w:r>
              <w:t xml:space="preserve">750 mg over 6 h</w:t>
            </w:r>
          </w:p>
        </w:tc>
        <w:tc>
          <w:tcPr/>
          <w:p>
            <w:pPr>
              <w:pStyle w:val="Compact"/>
              <w:jc w:val="left"/>
            </w:pPr>
            <w:r>
              <w:t xml:space="preserve">Rapid plasma removal; downstream NAD metabolites and urinary MeNAM</w:t>
            </w:r>
          </w:p>
        </w:tc>
        <w:tc>
          <w:tcPr/>
          <w:p>
            <w:pPr>
              <w:pStyle w:val="Compact"/>
              <w:jc w:val="left"/>
            </w:pPr>
            <w:r>
              <w:t xml:space="preserve">No control; no tissue delivery or clinical efficacy outcome</w:t>
            </w:r>
          </w:p>
        </w:tc>
      </w:tr>
      <w:tr>
        <w:tc>
          <w:tcPr/>
          <w:p>
            <w:pPr>
              <w:pStyle w:val="Compact"/>
              <w:jc w:val="left"/>
            </w:pPr>
            <w:r>
              <w:t xml:space="preserve">IV NAD+ vs IV NR [7]</w:t>
            </w:r>
          </w:p>
        </w:tc>
        <w:tc>
          <w:tcPr/>
          <w:p>
            <w:pPr>
              <w:pStyle w:val="Compact"/>
              <w:jc w:val="left"/>
            </w:pPr>
            <w:r>
              <w:t xml:space="preserve">Retrospective commercial cohort</w:t>
            </w:r>
          </w:p>
        </w:tc>
        <w:tc>
          <w:tcPr/>
          <w:p>
            <w:pPr>
              <w:pStyle w:val="Compact"/>
              <w:jc w:val="left"/>
            </w:pPr>
            <w:r>
              <w:t xml:space="preserve">500 mg daily ×4</w:t>
            </w:r>
          </w:p>
        </w:tc>
        <w:tc>
          <w:tcPr/>
          <w:p>
            <w:pPr>
              <w:pStyle w:val="Compact"/>
              <w:jc w:val="left"/>
            </w:pPr>
            <w:r>
              <w:t xml:space="preserve">IV NAD+ had more rate-limiting symptoms and longer infusion time</w:t>
            </w:r>
          </w:p>
        </w:tc>
        <w:tc>
          <w:tcPr/>
          <w:p>
            <w:pPr>
              <w:pStyle w:val="Compact"/>
              <w:jc w:val="left"/>
            </w:pPr>
            <w:r>
              <w:t xml:space="preserve">Retrospective; small; exploratory biomarkers</w:t>
            </w:r>
          </w:p>
        </w:tc>
      </w:tr>
      <w:tr>
        <w:tc>
          <w:tcPr/>
          <w:p>
            <w:pPr>
              <w:pStyle w:val="Compact"/>
              <w:jc w:val="left"/>
            </w:pPr>
            <w:r>
              <w:t xml:space="preserve">NR [11]</w:t>
            </w:r>
          </w:p>
        </w:tc>
        <w:tc>
          <w:tcPr/>
          <w:p>
            <w:pPr>
              <w:pStyle w:val="Compact"/>
              <w:jc w:val="left"/>
            </w:pPr>
            <w:r>
              <w:t xml:space="preserve">Healthy middle-aged/older adults; randomized crossover</w:t>
            </w:r>
          </w:p>
        </w:tc>
        <w:tc>
          <w:tcPr/>
          <w:p>
            <w:pPr>
              <w:pStyle w:val="Compact"/>
              <w:jc w:val="left"/>
            </w:pPr>
            <w:r>
              <w:t xml:space="preserve">1,000 mg/day ×6 weeks</w:t>
            </w:r>
          </w:p>
        </w:tc>
        <w:tc>
          <w:tcPr/>
          <w:p>
            <w:pPr>
              <w:pStyle w:val="Compact"/>
              <w:jc w:val="left"/>
            </w:pPr>
            <w:r>
              <w:t xml:space="preserve">Whole-blood NAD metabolome increased; generally tolerated</w:t>
            </w:r>
          </w:p>
        </w:tc>
        <w:tc>
          <w:tcPr/>
          <w:p>
            <w:pPr>
              <w:pStyle w:val="Compact"/>
              <w:jc w:val="left"/>
            </w:pPr>
            <w:r>
              <w:t xml:space="preserve">Small; exploratory clinical outcomes</w:t>
            </w:r>
          </w:p>
        </w:tc>
      </w:tr>
      <w:tr>
        <w:tc>
          <w:tcPr/>
          <w:p>
            <w:pPr>
              <w:pStyle w:val="Compact"/>
              <w:jc w:val="left"/>
            </w:pPr>
            <w:r>
              <w:t xml:space="preserve">NR [12]</w:t>
            </w:r>
          </w:p>
        </w:tc>
        <w:tc>
          <w:tcPr/>
          <w:p>
            <w:pPr>
              <w:pStyle w:val="Compact"/>
              <w:jc w:val="left"/>
            </w:pPr>
            <w:r>
              <w:t xml:space="preserve">12 older men; randomized crossover</w:t>
            </w:r>
          </w:p>
        </w:tc>
        <w:tc>
          <w:tcPr/>
          <w:p>
            <w:pPr>
              <w:pStyle w:val="Compact"/>
              <w:jc w:val="left"/>
            </w:pPr>
            <w:r>
              <w:t xml:space="preserve">1,000 mg/day ×21 days</w:t>
            </w:r>
          </w:p>
        </w:tc>
        <w:tc>
          <w:tcPr/>
          <w:p>
            <w:pPr>
              <w:pStyle w:val="Compact"/>
              <w:jc w:val="left"/>
            </w:pPr>
            <w:r>
              <w:t xml:space="preserve">Skeletal-muscle metabolome and transcriptome changed</w:t>
            </w:r>
          </w:p>
        </w:tc>
        <w:tc>
          <w:tcPr/>
          <w:p>
            <w:pPr>
              <w:pStyle w:val="Compact"/>
              <w:jc w:val="left"/>
            </w:pPr>
            <w:r>
              <w:t xml:space="preserve">No improved mitochondrial bioenergetics</w:t>
            </w:r>
          </w:p>
        </w:tc>
      </w:tr>
      <w:tr>
        <w:tc>
          <w:tcPr/>
          <w:p>
            <w:pPr>
              <w:pStyle w:val="Compact"/>
              <w:jc w:val="left"/>
            </w:pPr>
            <w:r>
              <w:t xml:space="preserve">NR [13]</w:t>
            </w:r>
          </w:p>
        </w:tc>
        <w:tc>
          <w:tcPr/>
          <w:p>
            <w:pPr>
              <w:pStyle w:val="Compact"/>
              <w:jc w:val="left"/>
            </w:pPr>
            <w:r>
              <w:t xml:space="preserve">Obese insulin-resistant men; randomized</w:t>
            </w:r>
          </w:p>
        </w:tc>
        <w:tc>
          <w:tcPr/>
          <w:p>
            <w:pPr>
              <w:pStyle w:val="Compact"/>
              <w:jc w:val="left"/>
            </w:pPr>
            <w:r>
              <w:t xml:space="preserve">2,000 mg/day ×12 weeks</w:t>
            </w:r>
          </w:p>
        </w:tc>
        <w:tc>
          <w:tcPr/>
          <w:p>
            <w:pPr>
              <w:pStyle w:val="Compact"/>
              <w:jc w:val="left"/>
            </w:pPr>
            <w:r>
              <w:t xml:space="preserve">No meaningful skeletal-muscle NAD or mitochondrial benefit</w:t>
            </w:r>
          </w:p>
        </w:tc>
        <w:tc>
          <w:tcPr/>
          <w:p>
            <w:pPr>
              <w:pStyle w:val="Compact"/>
              <w:jc w:val="left"/>
            </w:pPr>
            <w:r>
              <w:t xml:space="preserve">Specific male metabolic phenotype</w:t>
            </w:r>
          </w:p>
        </w:tc>
      </w:tr>
      <w:tr>
        <w:tc>
          <w:tcPr/>
          <w:p>
            <w:pPr>
              <w:pStyle w:val="Compact"/>
              <w:jc w:val="left"/>
            </w:pPr>
            <w:r>
              <w:t xml:space="preserve">NR [14]</w:t>
            </w:r>
          </w:p>
        </w:tc>
        <w:tc>
          <w:tcPr/>
          <w:p>
            <w:pPr>
              <w:pStyle w:val="Compact"/>
              <w:jc w:val="left"/>
            </w:pPr>
            <w:r>
              <w:t xml:space="preserve">13 overweight/obese adults; crossover</w:t>
            </w:r>
          </w:p>
        </w:tc>
        <w:tc>
          <w:tcPr/>
          <w:p>
            <w:pPr>
              <w:pStyle w:val="Compact"/>
              <w:jc w:val="left"/>
            </w:pPr>
            <w:r>
              <w:t xml:space="preserve">1,000 mg/day ×6 weeks</w:t>
            </w:r>
          </w:p>
        </w:tc>
        <w:tc>
          <w:tcPr/>
          <w:p>
            <w:pPr>
              <w:pStyle w:val="Compact"/>
              <w:jc w:val="left"/>
            </w:pPr>
            <w:r>
              <w:t xml:space="preserve">Muscle metabolites and acetylcarnitine changed</w:t>
            </w:r>
          </w:p>
        </w:tc>
        <w:tc>
          <w:tcPr/>
          <w:p>
            <w:pPr>
              <w:pStyle w:val="Compact"/>
              <w:jc w:val="left"/>
            </w:pPr>
            <w:r>
              <w:t xml:space="preserve">No insulin-sensitivity or mitochondrial-function improvement</w:t>
            </w:r>
          </w:p>
        </w:tc>
      </w:tr>
      <w:tr>
        <w:tc>
          <w:tcPr/>
          <w:p>
            <w:pPr>
              <w:pStyle w:val="Compact"/>
              <w:jc w:val="left"/>
            </w:pPr>
            <w:r>
              <w:t xml:space="preserve">NMN [15]</w:t>
            </w:r>
          </w:p>
        </w:tc>
        <w:tc>
          <w:tcPr/>
          <w:p>
            <w:pPr>
              <w:pStyle w:val="Compact"/>
              <w:jc w:val="left"/>
            </w:pPr>
            <w:r>
              <w:t xml:space="preserve">25 prediabetic postmenopausal women; randomized</w:t>
            </w:r>
          </w:p>
        </w:tc>
        <w:tc>
          <w:tcPr/>
          <w:p>
            <w:pPr>
              <w:pStyle w:val="Compact"/>
              <w:jc w:val="left"/>
            </w:pPr>
            <w:r>
              <w:t xml:space="preserve">250 mg/day ×10 weeks</w:t>
            </w:r>
          </w:p>
        </w:tc>
        <w:tc>
          <w:tcPr/>
          <w:p>
            <w:pPr>
              <w:pStyle w:val="Compact"/>
              <w:jc w:val="left"/>
            </w:pPr>
            <w:r>
              <w:t xml:space="preserve">Improved muscle insulin sensitivity and signaling</w:t>
            </w:r>
          </w:p>
        </w:tc>
        <w:tc>
          <w:tcPr/>
          <w:p>
            <w:pPr>
              <w:pStyle w:val="Compact"/>
              <w:jc w:val="left"/>
            </w:pPr>
            <w:r>
              <w:t xml:space="preserve">Small; important baseline liver-fat imbalance</w:t>
            </w:r>
          </w:p>
        </w:tc>
      </w:tr>
      <w:tr>
        <w:tc>
          <w:tcPr/>
          <w:p>
            <w:pPr>
              <w:pStyle w:val="Compact"/>
              <w:jc w:val="left"/>
            </w:pPr>
            <w:r>
              <w:t xml:space="preserve">NMN [18]</w:t>
            </w:r>
          </w:p>
        </w:tc>
        <w:tc>
          <w:tcPr/>
          <w:p>
            <w:pPr>
              <w:pStyle w:val="Compact"/>
              <w:jc w:val="left"/>
            </w:pPr>
            <w:r>
              <w:t xml:space="preserve">60 older adults; randomized</w:t>
            </w:r>
          </w:p>
        </w:tc>
        <w:tc>
          <w:tcPr/>
          <w:p>
            <w:pPr>
              <w:pStyle w:val="Compact"/>
              <w:jc w:val="left"/>
            </w:pPr>
            <w:r>
              <w:t xml:space="preserve">250 mg/day ×12 weeks</w:t>
            </w:r>
          </w:p>
        </w:tc>
        <w:tc>
          <w:tcPr/>
          <w:p>
            <w:pPr>
              <w:pStyle w:val="Compact"/>
              <w:jc w:val="left"/>
            </w:pPr>
            <w:r>
              <w:t xml:space="preserve">Higher blood NAD; secondary walking and sleep signals</w:t>
            </w:r>
          </w:p>
        </w:tc>
        <w:tc>
          <w:tcPr/>
          <w:p>
            <w:pPr>
              <w:pStyle w:val="Compact"/>
              <w:jc w:val="left"/>
            </w:pPr>
            <w:r>
              <w:t xml:space="preserve">Primary stepping endpoint not different; sponsor employees</w:t>
            </w:r>
          </w:p>
        </w:tc>
      </w:tr>
      <w:tr>
        <w:tc>
          <w:tcPr/>
          <w:p>
            <w:pPr>
              <w:pStyle w:val="Compact"/>
              <w:jc w:val="left"/>
            </w:pPr>
            <w:r>
              <w:t xml:space="preserve">NMN [19]</w:t>
            </w:r>
          </w:p>
        </w:tc>
        <w:tc>
          <w:tcPr/>
          <w:p>
            <w:pPr>
              <w:pStyle w:val="Compact"/>
              <w:jc w:val="left"/>
            </w:pPr>
            <w:r>
              <w:t xml:space="preserve">36 healthy middle-aged adults; randomized</w:t>
            </w:r>
          </w:p>
        </w:tc>
        <w:tc>
          <w:tcPr/>
          <w:p>
            <w:pPr>
              <w:pStyle w:val="Compact"/>
              <w:jc w:val="left"/>
            </w:pPr>
            <w:r>
              <w:t xml:space="preserve">250 mg/day ×12 weeks</w:t>
            </w:r>
          </w:p>
        </w:tc>
        <w:tc>
          <w:tcPr/>
          <w:p>
            <w:pPr>
              <w:pStyle w:val="Compact"/>
              <w:jc w:val="left"/>
            </w:pPr>
            <w:r>
              <w:t xml:space="preserve">NAD-metabolite engagement; arterial-stiffness trend</w:t>
            </w:r>
          </w:p>
        </w:tc>
        <w:tc>
          <w:tcPr/>
          <w:p>
            <w:pPr>
              <w:pStyle w:val="Compact"/>
              <w:jc w:val="left"/>
            </w:pPr>
            <w:r>
              <w:t xml:space="preserve">No significant between-group PWV difference</w:t>
            </w:r>
          </w:p>
        </w:tc>
      </w:tr>
      <w:tr>
        <w:tc>
          <w:tcPr/>
          <w:p>
            <w:pPr>
              <w:pStyle w:val="Compact"/>
              <w:jc w:val="left"/>
            </w:pPr>
            <w:r>
              <w:t xml:space="preserve">NR [22]</w:t>
            </w:r>
          </w:p>
        </w:tc>
        <w:tc>
          <w:tcPr/>
          <w:p>
            <w:pPr>
              <w:pStyle w:val="Compact"/>
              <w:jc w:val="left"/>
            </w:pPr>
            <w:r>
              <w:t xml:space="preserve">30 newly diagnosed PD patients; phase I randomized</w:t>
            </w:r>
          </w:p>
        </w:tc>
        <w:tc>
          <w:tcPr/>
          <w:p>
            <w:pPr>
              <w:pStyle w:val="Compact"/>
              <w:jc w:val="left"/>
            </w:pPr>
            <w:r>
              <w:t xml:space="preserve">1,000 mg/day ×30 days</w:t>
            </w:r>
          </w:p>
        </w:tc>
        <w:tc>
          <w:tcPr/>
          <w:p>
            <w:pPr>
              <w:pStyle w:val="Compact"/>
              <w:jc w:val="left"/>
            </w:pPr>
            <w:r>
              <w:t xml:space="preserve">Variable cerebral NAD increase and multi-omic engagement</w:t>
            </w:r>
          </w:p>
        </w:tc>
        <w:tc>
          <w:tcPr/>
          <w:p>
            <w:pPr>
              <w:pStyle w:val="Compact"/>
              <w:jc w:val="left"/>
            </w:pPr>
            <w:r>
              <w:t xml:space="preserve">Phase I; not powered for clinical efficacy</w:t>
            </w:r>
          </w:p>
        </w:tc>
      </w:tr>
      <w:tr>
        <w:tc>
          <w:tcPr/>
          <w:p>
            <w:pPr>
              <w:pStyle w:val="Compact"/>
              <w:jc w:val="left"/>
            </w:pPr>
            <w:r>
              <w:t xml:space="preserve">NR [23]</w:t>
            </w:r>
          </w:p>
        </w:tc>
        <w:tc>
          <w:tcPr/>
          <w:p>
            <w:pPr>
              <w:pStyle w:val="Compact"/>
              <w:jc w:val="left"/>
            </w:pPr>
            <w:r>
              <w:t xml:space="preserve">10 healthy adults; acute spectroscopy</w:t>
            </w:r>
          </w:p>
        </w:tc>
        <w:tc>
          <w:tcPr/>
          <w:p>
            <w:pPr>
              <w:pStyle w:val="Compact"/>
              <w:jc w:val="left"/>
            </w:pPr>
            <w:r>
              <w:t xml:space="preserve">900 mg once</w:t>
            </w:r>
          </w:p>
        </w:tc>
        <w:tc>
          <w:tcPr/>
          <w:p>
            <w:pPr>
              <w:pStyle w:val="Compact"/>
              <w:jc w:val="left"/>
            </w:pPr>
            <w:r>
              <w:t xml:space="preserve">Cerebral NAD increased at 4 h</w:t>
            </w:r>
          </w:p>
        </w:tc>
        <w:tc>
          <w:tcPr/>
          <w:p>
            <w:pPr>
              <w:pStyle w:val="Compact"/>
              <w:jc w:val="left"/>
            </w:pPr>
            <w:r>
              <w:t xml:space="preserve">Very small; acute; no clinical endpoint</w:t>
            </w:r>
          </w:p>
        </w:tc>
      </w:tr>
      <w:tr>
        <w:tc>
          <w:tcPr/>
          <w:p>
            <w:pPr>
              <w:pStyle w:val="Compact"/>
              <w:jc w:val="left"/>
            </w:pPr>
            <w:r>
              <w:t xml:space="preserve">NR/NMN [24]</w:t>
            </w:r>
          </w:p>
        </w:tc>
        <w:tc>
          <w:tcPr/>
          <w:p>
            <w:pPr>
              <w:pStyle w:val="Compact"/>
              <w:jc w:val="left"/>
            </w:pPr>
            <w:r>
              <w:t xml:space="preserve">12 healthy/PD participants; phase I PK</w:t>
            </w:r>
          </w:p>
        </w:tc>
        <w:tc>
          <w:tcPr/>
          <w:p>
            <w:pPr>
              <w:pStyle w:val="Compact"/>
              <w:jc w:val="left"/>
            </w:pPr>
            <w:r>
              <w:t xml:space="preserve">1,200 mg/day ×4 weeks</w:t>
            </w:r>
          </w:p>
        </w:tc>
        <w:tc>
          <w:tcPr/>
          <w:p>
            <w:pPr>
              <w:pStyle w:val="Compact"/>
              <w:jc w:val="left"/>
            </w:pPr>
            <w:r>
              <w:t xml:space="preserve">Blood plateau ~2 weeks; cerebral NAD increase ~4 weeks</w:t>
            </w:r>
          </w:p>
        </w:tc>
        <w:tc>
          <w:tcPr/>
          <w:p>
            <w:pPr>
              <w:pStyle w:val="Compact"/>
              <w:jc w:val="left"/>
            </w:pPr>
            <w:r>
              <w:t xml:space="preserve">Very small; exploratory</w:t>
            </w:r>
          </w:p>
        </w:tc>
      </w:tr>
      <w:tr>
        <w:tc>
          <w:tcPr/>
          <w:p>
            <w:pPr>
              <w:pStyle w:val="Compact"/>
              <w:jc w:val="left"/>
            </w:pPr>
            <w:r>
              <w:t xml:space="preserve">NR [38]</w:t>
            </w:r>
          </w:p>
        </w:tc>
        <w:tc>
          <w:tcPr/>
          <w:p>
            <w:pPr>
              <w:pStyle w:val="Compact"/>
              <w:jc w:val="left"/>
            </w:pPr>
            <w:r>
              <w:t xml:space="preserve">58 long-COVID participants; randomized</w:t>
            </w:r>
          </w:p>
        </w:tc>
        <w:tc>
          <w:tcPr/>
          <w:p>
            <w:pPr>
              <w:pStyle w:val="Compact"/>
              <w:jc w:val="left"/>
            </w:pPr>
            <w:r>
              <w:t xml:space="preserve">2,000 mg/day up to 20 weeks</w:t>
            </w:r>
          </w:p>
        </w:tc>
        <w:tc>
          <w:tcPr/>
          <w:p>
            <w:pPr>
              <w:pStyle w:val="Compact"/>
              <w:jc w:val="left"/>
            </w:pPr>
            <w:r>
              <w:t xml:space="preserve">NAD increased 2.6–3.1-fold</w:t>
            </w:r>
          </w:p>
        </w:tc>
        <w:tc>
          <w:tcPr/>
          <w:p>
            <w:pPr>
              <w:pStyle w:val="Compact"/>
              <w:jc w:val="left"/>
            </w:pPr>
            <w:r>
              <w:t xml:space="preserve">No significant cognitive benefit; high dropout</w:t>
            </w:r>
          </w:p>
        </w:tc>
      </w:tr>
      <w:tr>
        <w:tc>
          <w:tcPr/>
          <w:p>
            <w:pPr>
              <w:pStyle w:val="Compact"/>
              <w:jc w:val="left"/>
            </w:pPr>
            <w:r>
              <w:t xml:space="preserve">NR [39]</w:t>
            </w:r>
          </w:p>
        </w:tc>
        <w:tc>
          <w:tcPr/>
          <w:p>
            <w:pPr>
              <w:pStyle w:val="Compact"/>
              <w:jc w:val="left"/>
            </w:pPr>
            <w:r>
              <w:t xml:space="preserve">40 COPD patients; randomized</w:t>
            </w:r>
          </w:p>
        </w:tc>
        <w:tc>
          <w:tcPr/>
          <w:p>
            <w:pPr>
              <w:pStyle w:val="Compact"/>
              <w:jc w:val="left"/>
            </w:pPr>
            <w:r>
              <w:t xml:space="preserve">6 weeks</w:t>
            </w:r>
          </w:p>
        </w:tc>
        <w:tc>
          <w:tcPr/>
          <w:p>
            <w:pPr>
              <w:pStyle w:val="Compact"/>
              <w:jc w:val="left"/>
            </w:pPr>
            <w:r>
              <w:t xml:space="preserve">Sputum IL-8 reduced versus placebo</w:t>
            </w:r>
          </w:p>
        </w:tc>
        <w:tc>
          <w:tcPr/>
          <w:p>
            <w:pPr>
              <w:pStyle w:val="Compact"/>
              <w:jc w:val="left"/>
            </w:pPr>
            <w:r>
              <w:t xml:space="preserve">Disease-specific; functional implications require follow-up</w:t>
            </w:r>
          </w:p>
        </w:tc>
      </w:tr>
      <w:tr>
        <w:tc>
          <w:tcPr/>
          <w:p>
            <w:pPr>
              <w:pStyle w:val="Compact"/>
              <w:jc w:val="left"/>
            </w:pPr>
            <w:r>
              <w:t xml:space="preserve">Niacin-equivalent mixture [53]</w:t>
            </w:r>
          </w:p>
        </w:tc>
        <w:tc>
          <w:tcPr/>
          <w:p>
            <w:pPr>
              <w:pStyle w:val="Compact"/>
              <w:jc w:val="left"/>
            </w:pPr>
            <w:r>
              <w:t xml:space="preserve">14 older adults with impaired physical function; randomized crossover</w:t>
            </w:r>
          </w:p>
        </w:tc>
        <w:tc>
          <w:tcPr/>
          <w:p>
            <w:pPr>
              <w:pStyle w:val="Compact"/>
              <w:jc w:val="left"/>
            </w:pPr>
            <w:r>
              <w:t xml:space="preserve">207.5 mg niacin equivalents/day ×32 days</w:t>
            </w:r>
          </w:p>
        </w:tc>
        <w:tc>
          <w:tcPr/>
          <w:p>
            <w:pPr>
              <w:pStyle w:val="Compact"/>
              <w:jc w:val="left"/>
            </w:pPr>
            <w:r>
              <w:t xml:space="preserve">Muscle MeNAM increased</w:t>
            </w:r>
          </w:p>
        </w:tc>
        <w:tc>
          <w:tcPr/>
          <w:p>
            <w:pPr>
              <w:pStyle w:val="Compact"/>
              <w:jc w:val="left"/>
            </w:pPr>
            <w:r>
              <w:t xml:space="preserve">Muscle NAD, respiration and exercise efficiency were null</w:t>
            </w:r>
          </w:p>
        </w:tc>
      </w:tr>
      <w:tr>
        <w:tc>
          <w:tcPr/>
          <w:p>
            <w:pPr>
              <w:pStyle w:val="Compact"/>
              <w:jc w:val="left"/>
            </w:pPr>
            <w:r>
              <w:t xml:space="preserve">NR + pterostilbene [54]</w:t>
            </w:r>
          </w:p>
        </w:tc>
        <w:tc>
          <w:tcPr/>
          <w:p>
            <w:pPr>
              <w:pStyle w:val="Compact"/>
              <w:jc w:val="left"/>
            </w:pPr>
            <w:r>
              <w:t xml:space="preserve">32 adults aged 55–80; randomized</w:t>
            </w:r>
          </w:p>
        </w:tc>
        <w:tc>
          <w:tcPr/>
          <w:p>
            <w:pPr>
              <w:pStyle w:val="Compact"/>
              <w:jc w:val="left"/>
            </w:pPr>
            <w:r>
              <w:t xml:space="preserve">NR 1,000 mg + PT 200 mg/day; before and 30 days after induced injury</w:t>
            </w:r>
          </w:p>
        </w:tc>
        <w:tc>
          <w:tcPr/>
          <w:p>
            <w:pPr>
              <w:pStyle w:val="Compact"/>
              <w:jc w:val="left"/>
            </w:pPr>
            <w:r>
              <w:t xml:space="preserve">Whole-blood NAD-related metabolites increased</w:t>
            </w:r>
          </w:p>
        </w:tc>
        <w:tc>
          <w:tcPr/>
          <w:p>
            <w:pPr>
              <w:pStyle w:val="Compact"/>
              <w:jc w:val="left"/>
            </w:pPr>
            <w:r>
              <w:t xml:space="preserve">No effect on muscle stem cells, strength recovery or histologic regeneration</w:t>
            </w:r>
          </w:p>
        </w:tc>
      </w:tr>
      <w:tr>
        <w:tc>
          <w:tcPr/>
          <w:p>
            <w:pPr>
              <w:pStyle w:val="Compact"/>
              <w:jc w:val="left"/>
            </w:pPr>
            <w:r>
              <w:t xml:space="preserve">NR in MCI [55]</w:t>
            </w:r>
          </w:p>
        </w:tc>
        <w:tc>
          <w:tcPr/>
          <w:p>
            <w:pPr>
              <w:pStyle w:val="Compact"/>
              <w:jc w:val="left"/>
            </w:pPr>
            <w:r>
              <w:t xml:space="preserve">20 older adults; randomized pilot</w:t>
            </w:r>
          </w:p>
        </w:tc>
        <w:tc>
          <w:tcPr/>
          <w:p>
            <w:pPr>
              <w:pStyle w:val="Compact"/>
              <w:jc w:val="left"/>
            </w:pPr>
            <w:r>
              <w:t xml:space="preserve">Escalation to 1,000 mg/day ×10 weeks</w:t>
            </w:r>
          </w:p>
        </w:tc>
        <w:tc>
          <w:tcPr/>
          <w:p>
            <w:pPr>
              <w:pStyle w:val="Compact"/>
              <w:jc w:val="left"/>
            </w:pPr>
            <w:r>
              <w:t xml:space="preserve">Blood NAD increased 2.6-fold; no excess adverse events</w:t>
            </w:r>
          </w:p>
        </w:tc>
        <w:tc>
          <w:tcPr/>
          <w:p>
            <w:pPr>
              <w:pStyle w:val="Compact"/>
              <w:jc w:val="left"/>
            </w:pPr>
            <w:r>
              <w:t xml:space="preserve">Cognition unchanged; CBF finding did not survive multiplicity boundary</w:t>
            </w:r>
          </w:p>
        </w:tc>
      </w:tr>
      <w:tr>
        <w:tc>
          <w:tcPr/>
          <w:p>
            <w:pPr>
              <w:pStyle w:val="Compact"/>
              <w:jc w:val="left"/>
            </w:pPr>
            <w:r>
              <w:t xml:space="preserve">High-dose NR in PD [40]</w:t>
            </w:r>
          </w:p>
        </w:tc>
        <w:tc>
          <w:tcPr/>
          <w:p>
            <w:pPr>
              <w:pStyle w:val="Compact"/>
              <w:jc w:val="left"/>
            </w:pPr>
            <w:r>
              <w:t xml:space="preserve">20 participants; randomized phase I</w:t>
            </w:r>
          </w:p>
        </w:tc>
        <w:tc>
          <w:tcPr/>
          <w:p>
            <w:pPr>
              <w:pStyle w:val="Compact"/>
              <w:jc w:val="left"/>
            </w:pPr>
            <w:r>
              <w:t xml:space="preserve">3,000 mg/day ×4 weeks</w:t>
            </w:r>
          </w:p>
        </w:tc>
        <w:tc>
          <w:tcPr/>
          <w:p>
            <w:pPr>
              <w:pStyle w:val="Compact"/>
              <w:jc w:val="left"/>
            </w:pPr>
            <w:r>
              <w:t xml:space="preserve">Up to 5-fold blood NAD increase; no moderate/severe AE</w:t>
            </w:r>
          </w:p>
        </w:tc>
        <w:tc>
          <w:tcPr/>
          <w:p>
            <w:pPr>
              <w:pStyle w:val="Compact"/>
              <w:jc w:val="left"/>
            </w:pPr>
            <w:r>
              <w:t xml:space="preserve">Symptom signal confounded by levodopa timing; inventors declared patents</w:t>
            </w:r>
          </w:p>
        </w:tc>
      </w:tr>
      <w:tr>
        <w:tc>
          <w:tcPr/>
          <w:p>
            <w:pPr>
              <w:pStyle w:val="Compact"/>
              <w:jc w:val="left"/>
            </w:pPr>
            <w:r>
              <w:t xml:space="preserve">Whole-blood NAD metrology [43]</w:t>
            </w:r>
          </w:p>
        </w:tc>
        <w:tc>
          <w:tcPr/>
          <w:p>
            <w:pPr>
              <w:pStyle w:val="Compact"/>
              <w:jc w:val="left"/>
            </w:pPr>
            <w:r>
              <w:t xml:space="preserve">Seven independent human cohorts</w:t>
            </w:r>
          </w:p>
        </w:tc>
        <w:tc>
          <w:tcPr/>
          <w:p>
            <w:pPr>
              <w:pStyle w:val="Compact"/>
              <w:jc w:val="left"/>
            </w:pPr>
            <w:r>
              <w:t xml:space="preserve">Observational and lifestyle-intervention datasets</w:t>
            </w:r>
          </w:p>
        </w:tc>
        <w:tc>
          <w:tcPr/>
          <w:p>
            <w:pPr>
              <w:pStyle w:val="Compact"/>
              <w:jc w:val="left"/>
            </w:pPr>
            <w:r>
              <w:t xml:space="preserve">Whole-blood NAD stable with age/lifestyle; changed after NR</w:t>
            </w:r>
          </w:p>
        </w:tc>
        <w:tc>
          <w:tcPr/>
          <w:p>
            <w:pPr>
              <w:pStyle w:val="Compact"/>
              <w:jc w:val="left"/>
            </w:pPr>
            <w:r>
              <w:t xml:space="preserve">Supports exposure use, challenges aging-biomarker use</w:t>
            </w:r>
          </w:p>
        </w:tc>
      </w:tr>
    </w:tbl>
    <w:bookmarkEnd w:id="87"/>
    <w:bookmarkStart w:id="88" w:name="X0b366f28c28e0a9d668fbdbe3cb953c79d5634f"/>
    <w:p>
      <w:pPr>
        <w:pStyle w:val="Heading2"/>
      </w:pPr>
      <w:r>
        <w:t xml:space="preserve">18. Claim–evidence–counterevidence matrix</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Core assertion</w:t>
            </w:r>
          </w:p>
        </w:tc>
        <w:tc>
          <w:tcPr/>
          <w:p>
            <w:pPr>
              <w:pStyle w:val="Compact"/>
              <w:jc w:val="left"/>
            </w:pPr>
            <w:r>
              <w:rPr>
                <w:bCs/>
                <w:b/>
              </w:rPr>
              <w:t xml:space="preserve">Supporting evidence</w:t>
            </w:r>
          </w:p>
        </w:tc>
        <w:tc>
          <w:tcPr/>
          <w:p>
            <w:pPr>
              <w:pStyle w:val="Compact"/>
              <w:jc w:val="left"/>
            </w:pPr>
            <w:r>
              <w:rPr>
                <w:bCs/>
                <w:b/>
              </w:rPr>
              <w:t xml:space="preserve">Counterevidence or boundary</w:t>
            </w:r>
          </w:p>
        </w:tc>
        <w:tc>
          <w:tcPr/>
          <w:p>
            <w:pPr>
              <w:pStyle w:val="Compact"/>
              <w:jc w:val="left"/>
            </w:pPr>
            <w:r>
              <w:rPr>
                <w:bCs/>
                <w:b/>
              </w:rPr>
              <w:t xml:space="preserve">Confidence</w:t>
            </w:r>
          </w:p>
        </w:tc>
      </w:tr>
      <w:tr>
        <w:tc>
          <w:tcPr/>
          <w:p>
            <w:pPr>
              <w:pStyle w:val="Compact"/>
              <w:jc w:val="left"/>
            </w:pPr>
            <w:r>
              <w:t xml:space="preserve">NAD is central to redox metabolism and is consumed by PARPs, sirtuins and CD38</w:t>
            </w:r>
          </w:p>
        </w:tc>
        <w:tc>
          <w:tcPr/>
          <w:p>
            <w:pPr>
              <w:pStyle w:val="Compact"/>
              <w:jc w:val="left"/>
            </w:pPr>
            <w:r>
              <w:t xml:space="preserve">Established biochemistry; cellular studies</w:t>
            </w:r>
          </w:p>
        </w:tc>
        <w:tc>
          <w:tcPr/>
          <w:p>
            <w:pPr>
              <w:pStyle w:val="Compact"/>
              <w:jc w:val="left"/>
            </w:pPr>
            <w:r>
              <w:t xml:space="preserve">Total pool alone does not describe flux or compartment</w:t>
            </w:r>
          </w:p>
        </w:tc>
        <w:tc>
          <w:tcPr/>
          <w:p>
            <w:pPr>
              <w:pStyle w:val="Compact"/>
              <w:jc w:val="left"/>
            </w:pPr>
            <w:r>
              <w:t xml:space="preserve">Established</w:t>
            </w:r>
          </w:p>
        </w:tc>
      </w:tr>
      <w:tr>
        <w:tc>
          <w:tcPr/>
          <w:p>
            <w:pPr>
              <w:pStyle w:val="Compact"/>
              <w:jc w:val="left"/>
            </w:pPr>
            <w:r>
              <w:t xml:space="preserve">Mammalian mitochondrial NAD import is regulated by SLC25A51</w:t>
            </w:r>
          </w:p>
        </w:tc>
        <w:tc>
          <w:tcPr/>
          <w:p>
            <w:pPr>
              <w:pStyle w:val="Compact"/>
              <w:jc w:val="left"/>
            </w:pPr>
            <w:r>
              <w:t xml:space="preserve">Genetic and transport studies [1,2]</w:t>
            </w:r>
          </w:p>
        </w:tc>
        <w:tc>
          <w:tcPr/>
          <w:p>
            <w:pPr>
              <w:pStyle w:val="Compact"/>
              <w:jc w:val="left"/>
            </w:pPr>
            <w:r>
              <w:t xml:space="preserve">Human intervention studies rarely measure this directly</w:t>
            </w:r>
          </w:p>
        </w:tc>
        <w:tc>
          <w:tcPr/>
          <w:p>
            <w:pPr>
              <w:pStyle w:val="Compact"/>
              <w:jc w:val="left"/>
            </w:pPr>
            <w:r>
              <w:t xml:space="preserve">Established mechanism; unresolved clinical translation</w:t>
            </w:r>
          </w:p>
        </w:tc>
      </w:tr>
      <w:tr>
        <w:tc>
          <w:tcPr/>
          <w:p>
            <w:pPr>
              <w:pStyle w:val="Compact"/>
              <w:jc w:val="left"/>
            </w:pPr>
            <w:r>
              <w:t xml:space="preserve">Inflammation and senescence can drive CD38-associated NAD loss</w:t>
            </w:r>
          </w:p>
        </w:tc>
        <w:tc>
          <w:tcPr/>
          <w:p>
            <w:pPr>
              <w:pStyle w:val="Compact"/>
              <w:jc w:val="left"/>
            </w:pPr>
            <w:r>
              <w:t xml:space="preserve">Tissue and animal studies [3–5]</w:t>
            </w:r>
          </w:p>
        </w:tc>
        <w:tc>
          <w:tcPr/>
          <w:p>
            <w:pPr>
              <w:pStyle w:val="Compact"/>
              <w:jc w:val="left"/>
            </w:pPr>
            <w:r>
              <w:t xml:space="preserve">Human magnitude and individual variability remain uncertain</w:t>
            </w:r>
          </w:p>
        </w:tc>
        <w:tc>
          <w:tcPr/>
          <w:p>
            <w:pPr>
              <w:pStyle w:val="Compact"/>
              <w:jc w:val="left"/>
            </w:pPr>
            <w:r>
              <w:t xml:space="preserve">Supported mechanism</w:t>
            </w:r>
          </w:p>
        </w:tc>
      </w:tr>
      <w:tr>
        <w:tc>
          <w:tcPr/>
          <w:p>
            <w:pPr>
              <w:pStyle w:val="Compact"/>
              <w:jc w:val="left"/>
            </w:pPr>
            <w:r>
              <w:t xml:space="preserve">IV NAD+ creates direct vascular exposure</w:t>
            </w:r>
          </w:p>
        </w:tc>
        <w:tc>
          <w:tcPr/>
          <w:p>
            <w:pPr>
              <w:pStyle w:val="Compact"/>
              <w:jc w:val="left"/>
            </w:pPr>
            <w:r>
              <w:t xml:space="preserve">Route definition; human infusion study [6]</w:t>
            </w:r>
          </w:p>
        </w:tc>
        <w:tc>
          <w:tcPr/>
          <w:p>
            <w:pPr>
              <w:pStyle w:val="Compact"/>
              <w:jc w:val="left"/>
            </w:pPr>
            <w:r>
              <w:t xml:space="preserve">Does not establish intact intracellular or mitochondrial delivery</w:t>
            </w:r>
          </w:p>
        </w:tc>
        <w:tc>
          <w:tcPr/>
          <w:p>
            <w:pPr>
              <w:pStyle w:val="Compact"/>
              <w:jc w:val="left"/>
            </w:pPr>
            <w:r>
              <w:t xml:space="preserve">Established exposure; unresolved distribution</w:t>
            </w:r>
          </w:p>
        </w:tc>
      </w:tr>
      <w:tr>
        <w:tc>
          <w:tcPr/>
          <w:p>
            <w:pPr>
              <w:pStyle w:val="Compact"/>
              <w:jc w:val="left"/>
            </w:pPr>
            <w:r>
              <w:t xml:space="preserve">IV NAD+ is “100% bioavailable” to cells</w:t>
            </w:r>
          </w:p>
        </w:tc>
        <w:tc>
          <w:tcPr/>
          <w:p>
            <w:pPr>
              <w:pStyle w:val="Compact"/>
              <w:jc w:val="left"/>
            </w:pPr>
            <w:r>
              <w:t xml:space="preserve">None adequate</w:t>
            </w:r>
          </w:p>
        </w:tc>
        <w:tc>
          <w:tcPr/>
          <w:p>
            <w:pPr>
              <w:pStyle w:val="Compact"/>
              <w:jc w:val="left"/>
            </w:pPr>
            <w:r>
              <w:t xml:space="preserve">Rapid extracellular metabolism and plasma disappearance [6]</w:t>
            </w:r>
          </w:p>
        </w:tc>
        <w:tc>
          <w:tcPr/>
          <w:p>
            <w:pPr>
              <w:pStyle w:val="Compact"/>
              <w:jc w:val="left"/>
            </w:pPr>
            <w:r>
              <w:t xml:space="preserve">Refuted as a cellular claim</w:t>
            </w:r>
          </w:p>
        </w:tc>
      </w:tr>
      <w:tr>
        <w:tc>
          <w:tcPr/>
          <w:p>
            <w:pPr>
              <w:pStyle w:val="Compact"/>
              <w:jc w:val="left"/>
            </w:pPr>
            <w:r>
              <w:t xml:space="preserve">Oral NR/NMN raise circulating NAD-related metabolites</w:t>
            </w:r>
          </w:p>
        </w:tc>
        <w:tc>
          <w:tcPr/>
          <w:p>
            <w:pPr>
              <w:pStyle w:val="Compact"/>
              <w:jc w:val="left"/>
            </w:pPr>
            <w:r>
              <w:t xml:space="preserve">Multiple RCTs and reviews [8–12,15,17–21]</w:t>
            </w:r>
          </w:p>
        </w:tc>
        <w:tc>
          <w:tcPr/>
          <w:p>
            <w:pPr>
              <w:pStyle w:val="Compact"/>
              <w:jc w:val="left"/>
            </w:pPr>
            <w:r>
              <w:t xml:space="preserve">Functional outcomes are heterogeneous</w:t>
            </w:r>
          </w:p>
        </w:tc>
        <w:tc>
          <w:tcPr/>
          <w:p>
            <w:pPr>
              <w:pStyle w:val="Compact"/>
              <w:jc w:val="left"/>
            </w:pPr>
            <w:r>
              <w:t xml:space="preserve">Established target engagement</w:t>
            </w:r>
          </w:p>
        </w:tc>
      </w:tr>
      <w:tr>
        <w:tc>
          <w:tcPr/>
          <w:p>
            <w:pPr>
              <w:pStyle w:val="Compact"/>
              <w:jc w:val="left"/>
            </w:pPr>
            <w:r>
              <w:t xml:space="preserve">Raising blood NAD necessarily improves energy, cognition or aging</w:t>
            </w:r>
          </w:p>
        </w:tc>
        <w:tc>
          <w:tcPr/>
          <w:p>
            <w:pPr>
              <w:pStyle w:val="Compact"/>
              <w:jc w:val="left"/>
            </w:pPr>
            <w:r>
              <w:t xml:space="preserve">No adequate universal evidence</w:t>
            </w:r>
          </w:p>
        </w:tc>
        <w:tc>
          <w:tcPr/>
          <w:p>
            <w:pPr>
              <w:pStyle w:val="Compact"/>
              <w:jc w:val="left"/>
            </w:pPr>
            <w:r>
              <w:t xml:space="preserve">Multiple null functional trials and meta-analyses [13,14,20,21,38,53–55]</w:t>
            </w:r>
          </w:p>
        </w:tc>
        <w:tc>
          <w:tcPr/>
          <w:p>
            <w:pPr>
              <w:pStyle w:val="Compact"/>
              <w:jc w:val="left"/>
            </w:pPr>
            <w:r>
              <w:t xml:space="preserve">Refuted as a universal claim</w:t>
            </w:r>
          </w:p>
        </w:tc>
      </w:tr>
      <w:tr>
        <w:tc>
          <w:tcPr/>
          <w:p>
            <w:pPr>
              <w:pStyle w:val="Compact"/>
              <w:jc w:val="left"/>
            </w:pPr>
            <w:r>
              <w:t xml:space="preserve">Whole-blood NAD is a biomarker of biological aging</w:t>
            </w:r>
          </w:p>
        </w:tc>
        <w:tc>
          <w:tcPr/>
          <w:p>
            <w:pPr>
              <w:pStyle w:val="Compact"/>
              <w:jc w:val="left"/>
            </w:pPr>
            <w:r>
              <w:t xml:space="preserve">Earlier heterogeneous human associations [44–46]</w:t>
            </w:r>
          </w:p>
        </w:tc>
        <w:tc>
          <w:tcPr/>
          <w:p>
            <w:pPr>
              <w:pStyle w:val="Compact"/>
              <w:jc w:val="left"/>
            </w:pPr>
            <w:r>
              <w:t xml:space="preserve">Seven-cohort validated analysis found stability with age [43]</w:t>
            </w:r>
          </w:p>
        </w:tc>
        <w:tc>
          <w:tcPr/>
          <w:p>
            <w:pPr>
              <w:pStyle w:val="Compact"/>
              <w:jc w:val="left"/>
            </w:pPr>
            <w:r>
              <w:t xml:space="preserve">Not validated; refuted as a universal claim</w:t>
            </w:r>
          </w:p>
        </w:tc>
      </w:tr>
      <w:tr>
        <w:tc>
          <w:tcPr/>
          <w:p>
            <w:pPr>
              <w:pStyle w:val="Compact"/>
              <w:jc w:val="left"/>
            </w:pPr>
            <w:r>
              <w:t xml:space="preserve">NR/NMN can act as continuity companions</w:t>
            </w:r>
          </w:p>
        </w:tc>
        <w:tc>
          <w:tcPr/>
          <w:p>
            <w:pPr>
              <w:pStyle w:val="Compact"/>
              <w:jc w:val="left"/>
            </w:pPr>
            <w:r>
              <w:t xml:space="preserve">Sustained oral kinetics and tissue engagement [11,12,22–24]</w:t>
            </w:r>
          </w:p>
        </w:tc>
        <w:tc>
          <w:tcPr/>
          <w:p>
            <w:pPr>
              <w:pStyle w:val="Compact"/>
              <w:jc w:val="left"/>
            </w:pPr>
            <w:r>
              <w:t xml:space="preserve">Optimal agent and responder phenotype unresolved</w:t>
            </w:r>
          </w:p>
        </w:tc>
        <w:tc>
          <w:tcPr/>
          <w:p>
            <w:pPr>
              <w:pStyle w:val="Compact"/>
              <w:jc w:val="left"/>
            </w:pPr>
            <w:r>
              <w:t xml:space="preserve">Supported, conditional</w:t>
            </w:r>
          </w:p>
        </w:tc>
      </w:tr>
      <w:tr>
        <w:tc>
          <w:tcPr/>
          <w:p>
            <w:pPr>
              <w:pStyle w:val="Compact"/>
              <w:jc w:val="left"/>
            </w:pPr>
            <w:r>
              <w:t xml:space="preserve">NAD-directed exposure necessarily depletes methyl donors</w:t>
            </w:r>
          </w:p>
        </w:tc>
        <w:tc>
          <w:tcPr/>
          <w:p>
            <w:pPr>
              <w:pStyle w:val="Compact"/>
              <w:jc w:val="left"/>
            </w:pPr>
            <w:r>
              <w:t xml:space="preserve">NNMT mechanism makes burden plausible [25]</w:t>
            </w:r>
          </w:p>
        </w:tc>
        <w:tc>
          <w:tcPr/>
          <w:p>
            <w:pPr>
              <w:pStyle w:val="Compact"/>
              <w:jc w:val="left"/>
            </w:pPr>
            <w:r>
              <w:t xml:space="preserve">Human NR study found no methylation disruption [26]</w:t>
            </w:r>
          </w:p>
        </w:tc>
        <w:tc>
          <w:tcPr/>
          <w:p>
            <w:pPr>
              <w:pStyle w:val="Compact"/>
              <w:jc w:val="left"/>
            </w:pPr>
            <w:r>
              <w:t xml:space="preserve">Refuted as universal; conditional risk remains</w:t>
            </w:r>
          </w:p>
        </w:tc>
      </w:tr>
      <w:tr>
        <w:tc>
          <w:tcPr/>
          <w:p>
            <w:pPr>
              <w:pStyle w:val="Compact"/>
              <w:jc w:val="left"/>
            </w:pPr>
            <w:r>
              <w:t xml:space="preserve">TMG should accompany every NAD intervention</w:t>
            </w:r>
          </w:p>
        </w:tc>
        <w:tc>
          <w:tcPr/>
          <w:p>
            <w:pPr>
              <w:pStyle w:val="Compact"/>
              <w:jc w:val="left"/>
            </w:pPr>
            <w:r>
              <w:t xml:space="preserve">No adequate evidence</w:t>
            </w:r>
          </w:p>
        </w:tc>
        <w:tc>
          <w:tcPr/>
          <w:p>
            <w:pPr>
              <w:pStyle w:val="Compact"/>
              <w:jc w:val="left"/>
            </w:pPr>
            <w:r>
              <w:t xml:space="preserve">Lipid trade-offs and absence of universal methyl disturbance [26–29]</w:t>
            </w:r>
          </w:p>
        </w:tc>
        <w:tc>
          <w:tcPr/>
          <w:p>
            <w:pPr>
              <w:pStyle w:val="Compact"/>
              <w:jc w:val="left"/>
            </w:pPr>
            <w:r>
              <w:t xml:space="preserve">Refuted as universal</w:t>
            </w:r>
          </w:p>
        </w:tc>
      </w:tr>
      <w:tr>
        <w:tc>
          <w:tcPr/>
          <w:p>
            <w:pPr>
              <w:pStyle w:val="Compact"/>
              <w:jc w:val="left"/>
            </w:pPr>
            <w:r>
              <w:t xml:space="preserve">Active cancer requires mechanistic caution</w:t>
            </w:r>
          </w:p>
        </w:tc>
        <w:tc>
          <w:tcPr/>
          <w:p>
            <w:pPr>
              <w:pStyle w:val="Compact"/>
              <w:jc w:val="left"/>
            </w:pPr>
            <w:r>
              <w:t xml:space="preserve">Tumor NAD dependencies and context-dependent experimental results [31–37]</w:t>
            </w:r>
          </w:p>
        </w:tc>
        <w:tc>
          <w:tcPr/>
          <w:p>
            <w:pPr>
              <w:pStyle w:val="Compact"/>
              <w:jc w:val="left"/>
            </w:pPr>
            <w:r>
              <w:t xml:space="preserve">Some models show protective or treatment-enhancing effects</w:t>
            </w:r>
          </w:p>
        </w:tc>
        <w:tc>
          <w:tcPr/>
          <w:p>
            <w:pPr>
              <w:pStyle w:val="Compact"/>
              <w:jc w:val="left"/>
            </w:pPr>
            <w:r>
              <w:t xml:space="preserve">Supported, highly context-dependent</w:t>
            </w:r>
          </w:p>
        </w:tc>
      </w:tr>
    </w:tbl>
    <w:bookmarkEnd w:id="88"/>
    <w:bookmarkStart w:id="89" w:name="Xe4bd4d282f8026c3e1ff7da1833ab8271039f4c"/>
    <w:p>
      <w:pPr>
        <w:pStyle w:val="Heading2"/>
      </w:pPr>
      <w:r>
        <w:t xml:space="preserve">19. Discussion</w:t>
      </w:r>
    </w:p>
    <w:p>
      <w:pPr>
        <w:pStyle w:val="FirstParagraph"/>
      </w:pPr>
      <w:r>
        <w:t xml:space="preserve">The strongest conclusion from current human research is not that NAD</w:t>
      </w:r>
      <w:r>
        <w:t xml:space="preserve"> </w:t>
      </w:r>
      <w:r>
        <w:t xml:space="preserve">restoration “works” or “does not work.” It is that</w:t>
      </w:r>
      <w:r>
        <w:t xml:space="preserve"> </w:t>
      </w:r>
      <w:r>
        <w:rPr>
          <w:bCs/>
          <w:b/>
        </w:rPr>
        <w:t xml:space="preserve">biochemical</w:t>
      </w:r>
      <w:r>
        <w:rPr>
          <w:bCs/>
          <w:b/>
        </w:rPr>
        <w:t xml:space="preserve"> </w:t>
      </w:r>
      <w:r>
        <w:rPr>
          <w:bCs/>
          <w:b/>
        </w:rPr>
        <w:t xml:space="preserve">engagement is easier to produce than durable functional change</w:t>
      </w:r>
      <w:r>
        <w:t xml:space="preserve">. That</w:t>
      </w:r>
      <w:r>
        <w:t xml:space="preserve"> </w:t>
      </w:r>
      <w:r>
        <w:t xml:space="preserve">pattern should improve clinical reasoning rather than disappoint it.</w:t>
      </w:r>
    </w:p>
    <w:p>
      <w:pPr>
        <w:pStyle w:val="BodyText"/>
      </w:pPr>
      <w:r>
        <w:t xml:space="preserve">The pathway is biologically real. The measurement problem is equally</w:t>
      </w:r>
      <w:r>
        <w:t xml:space="preserve"> </w:t>
      </w:r>
      <w:r>
        <w:t xml:space="preserve">real. A 2026 multi-cohort analysis overturns the casual use of</w:t>
      </w:r>
      <w:r>
        <w:t xml:space="preserve"> </w:t>
      </w:r>
      <w:r>
        <w:t xml:space="preserve">whole-blood NAD as an age clock while preserving its usefulness as an</w:t>
      </w:r>
      <w:r>
        <w:t xml:space="preserve"> </w:t>
      </w:r>
      <w:r>
        <w:t xml:space="preserve">exposure marker [43]. This distinction is a major advance: it allows</w:t>
      </w:r>
      <w:r>
        <w:t xml:space="preserve"> </w:t>
      </w:r>
      <w:r>
        <w:t xml:space="preserve">the field to retain biochemical rigor without manufacturing a deficiency</w:t>
      </w:r>
      <w:r>
        <w:t xml:space="preserve"> </w:t>
      </w:r>
      <w:r>
        <w:t xml:space="preserve">diagnosis from an accessible sample.</w:t>
      </w:r>
    </w:p>
    <w:p>
      <w:pPr>
        <w:pStyle w:val="BodyText"/>
      </w:pPr>
      <w:r>
        <w:t xml:space="preserve">Oral precursors frequently alter the NAD metabolome. Cerebral and</w:t>
      </w:r>
      <w:r>
        <w:t xml:space="preserve"> </w:t>
      </w:r>
      <w:r>
        <w:t xml:space="preserve">skeletal-muscle engagement has been measured. Intravenous NAD+ is</w:t>
      </w:r>
      <w:r>
        <w:t xml:space="preserve"> </w:t>
      </w:r>
      <w:r>
        <w:t xml:space="preserve">rapidly metabolized and produces a distinct tolerability profile. None</w:t>
      </w:r>
      <w:r>
        <w:t xml:space="preserve"> </w:t>
      </w:r>
      <w:r>
        <w:t xml:space="preserve">of these facts justifies treating nonspecific symptoms as proof of NAD</w:t>
      </w:r>
      <w:r>
        <w:t xml:space="preserve"> </w:t>
      </w:r>
      <w:r>
        <w:t xml:space="preserve">deficiency or using a standard dose as a universal solution.</w:t>
      </w:r>
    </w:p>
    <w:p>
      <w:pPr>
        <w:pStyle w:val="BodyText"/>
      </w:pPr>
      <w:r>
        <w:t xml:space="preserve">The most productive clinical use of NAD-directed interventions is as a</w:t>
      </w:r>
      <w:r>
        <w:t xml:space="preserve"> </w:t>
      </w:r>
      <w:r>
        <w:t xml:space="preserve">bounded experiment inside a richer model of the patient. This requires</w:t>
      </w:r>
      <w:r>
        <w:t xml:space="preserve"> </w:t>
      </w:r>
      <w:r>
        <w:t xml:space="preserve">identifying the suspected bottleneck, selecting a route consistent with</w:t>
      </w:r>
      <w:r>
        <w:t xml:space="preserve"> </w:t>
      </w:r>
      <w:r>
        <w:t xml:space="preserve">that bottleneck, controlling product quality, measuring a target</w:t>
      </w:r>
      <w:r>
        <w:t xml:space="preserve"> </w:t>
      </w:r>
      <w:r>
        <w:t xml:space="preserve">response and being willing to abandon the hypothesis if the predicted</w:t>
      </w:r>
      <w:r>
        <w:t xml:space="preserve"> </w:t>
      </w:r>
      <w:r>
        <w:t xml:space="preserve">response does not occur.</w:t>
      </w:r>
    </w:p>
    <w:p>
      <w:pPr>
        <w:pStyle w:val="BodyText"/>
      </w:pPr>
      <w:r>
        <w:t xml:space="preserve">The NAD-5D model formalizes this discipline. Deficit prevents</w:t>
      </w:r>
      <w:r>
        <w:t xml:space="preserve"> </w:t>
      </w:r>
      <w:r>
        <w:t xml:space="preserve">symptom-to-product matching. Delivery distinguishes molecules and</w:t>
      </w:r>
      <w:r>
        <w:t xml:space="preserve"> </w:t>
      </w:r>
      <w:r>
        <w:t xml:space="preserve">routes. Distribution prevents blood measurements from masquerading as</w:t>
      </w:r>
      <w:r>
        <w:t xml:space="preserve"> </w:t>
      </w:r>
      <w:r>
        <w:t xml:space="preserve">tissue proof. Drain forces attention to the continuing biology that may</w:t>
      </w:r>
      <w:r>
        <w:t xml:space="preserve"> </w:t>
      </w:r>
      <w:r>
        <w:t xml:space="preserve">consume the restored pool. Demonstrated response makes the program</w:t>
      </w:r>
      <w:r>
        <w:t xml:space="preserve"> </w:t>
      </w:r>
      <w:r>
        <w:t xml:space="preserve">longitudinal and falsifiable.</w:t>
      </w:r>
    </w:p>
    <w:p>
      <w:pPr>
        <w:pStyle w:val="BodyText"/>
      </w:pPr>
      <w:r>
        <w:t xml:space="preserve">This framework also clarifies the place of companions. Oral NR or NMN</w:t>
      </w:r>
      <w:r>
        <w:t xml:space="preserve"> </w:t>
      </w:r>
      <w:r>
        <w:t xml:space="preserve">can provide continuity after an acute exposure because their kinetics</w:t>
      </w:r>
      <w:r>
        <w:t xml:space="preserve"> </w:t>
      </w:r>
      <w:r>
        <w:t xml:space="preserve">are slower and sustained. TMG can support remethylation when the</w:t>
      </w:r>
      <w:r>
        <w:t xml:space="preserve"> </w:t>
      </w:r>
      <w:r>
        <w:t xml:space="preserve">methylation context warrants it. Neither companion should be automatic.</w:t>
      </w:r>
      <w:r>
        <w:t xml:space="preserve"> </w:t>
      </w:r>
      <w:r>
        <w:t xml:space="preserve">Automatic stacks make it difficult to identify what produced benefit,</w:t>
      </w:r>
      <w:r>
        <w:t xml:space="preserve"> </w:t>
      </w:r>
      <w:r>
        <w:t xml:space="preserve">what caused harm and what is unnecessary.</w:t>
      </w:r>
    </w:p>
    <w:p>
      <w:pPr>
        <w:pStyle w:val="BodyText"/>
      </w:pPr>
      <w:r>
        <w:t xml:space="preserve">The approach differs from a purely regulatory or trial-hierarchical</w:t>
      </w:r>
      <w:r>
        <w:t xml:space="preserve"> </w:t>
      </w:r>
      <w:r>
        <w:t xml:space="preserve">model without rejecting controlled human data. A randomized trial</w:t>
      </w:r>
      <w:r>
        <w:t xml:space="preserve"> </w:t>
      </w:r>
      <w:r>
        <w:t xml:space="preserve">remains powerful for estimating causal effects in the population</w:t>
      </w:r>
      <w:r>
        <w:t xml:space="preserve"> </w:t>
      </w:r>
      <w:r>
        <w:t xml:space="preserve">studied. It is not the only admissible source of knowledge about</w:t>
      </w:r>
      <w:r>
        <w:t xml:space="preserve"> </w:t>
      </w:r>
      <w:r>
        <w:t xml:space="preserve">chemistry, transport, tissue distribution or an individual longitudinal</w:t>
      </w:r>
      <w:r>
        <w:t xml:space="preserve"> </w:t>
      </w:r>
      <w:r>
        <w:t xml:space="preserve">response. Likewise, elegant biochemical reasoning is valuable but cannot</w:t>
      </w:r>
      <w:r>
        <w:t xml:space="preserve"> </w:t>
      </w:r>
      <w:r>
        <w:t xml:space="preserve">claim a patient outcome it has not measured.</w:t>
      </w:r>
    </w:p>
    <w:p>
      <w:pPr>
        <w:pStyle w:val="BodyText"/>
      </w:pPr>
      <w:r>
        <w:t xml:space="preserve">The intended standard is therefore stricter than either extreme: neither</w:t>
      </w:r>
      <w:r>
        <w:t xml:space="preserve"> </w:t>
      </w:r>
      <w:r>
        <w:t xml:space="preserve">“not approved, therefore meaningless” nor “mechanistically plausible,</w:t>
      </w:r>
      <w:r>
        <w:t xml:space="preserve"> </w:t>
      </w:r>
      <w:r>
        <w:t xml:space="preserve">therefore clinically proven.”</w:t>
      </w:r>
    </w:p>
    <w:bookmarkEnd w:id="89"/>
    <w:bookmarkStart w:id="91" w:name="X4e229a256939405a42a5de79329dad827cff73d"/>
    <w:p>
      <w:pPr>
        <w:pStyle w:val="Heading2"/>
      </w:pPr>
      <w:r>
        <w:t xml:space="preserve">20. Conclusions</w:t>
      </w:r>
    </w:p>
    <w:p>
      <w:pPr>
        <w:pStyle w:val="FirstParagraph"/>
      </w:pPr>
      <w:r>
        <w:t xml:space="preserve">NAD+ restoration is a credible mechanistic field with demonstrated human</w:t>
      </w:r>
      <w:r>
        <w:t xml:space="preserve"> </w:t>
      </w:r>
      <w:r>
        <w:t xml:space="preserve">biochemical target engagement and incomplete clinical translation. Its</w:t>
      </w:r>
      <w:r>
        <w:t xml:space="preserve"> </w:t>
      </w:r>
      <w:r>
        <w:t xml:space="preserve">scientific value lies in the network: synthesis, transport,</w:t>
      </w:r>
      <w:r>
        <w:t xml:space="preserve"> </w:t>
      </w:r>
      <w:r>
        <w:t xml:space="preserve">compartmentation, consumption, redox state, route, tissue and patient</w:t>
      </w:r>
      <w:r>
        <w:t xml:space="preserve"> </w:t>
      </w:r>
      <w:r>
        <w:t xml:space="preserve">terrain.</w:t>
      </w:r>
    </w:p>
    <w:p>
      <w:pPr>
        <w:pStyle w:val="BodyText"/>
      </w:pPr>
      <w:r>
        <w:t xml:space="preserve">Intravenous NAD+ provides acute vascular exposure but is rapidly</w:t>
      </w:r>
      <w:r>
        <w:t xml:space="preserve"> </w:t>
      </w:r>
      <w:r>
        <w:t xml:space="preserve">metabolized, can be rate-limited by tolerability and lacks robust</w:t>
      </w:r>
      <w:r>
        <w:t xml:space="preserve"> </w:t>
      </w:r>
      <w:r>
        <w:t xml:space="preserve">controlled outcome evidence for broad wellness claims. Oral NR and NMN</w:t>
      </w:r>
      <w:r>
        <w:t xml:space="preserve"> </w:t>
      </w:r>
      <w:r>
        <w:t xml:space="preserve">are rational continuity tools because sustained administration can</w:t>
      </w:r>
      <w:r>
        <w:t xml:space="preserve"> </w:t>
      </w:r>
      <w:r>
        <w:t xml:space="preserve">increase circulating and, in selected studies, tissue or cerebral</w:t>
      </w:r>
      <w:r>
        <w:t xml:space="preserve"> </w:t>
      </w:r>
      <w:r>
        <w:t xml:space="preserve">NAD-related measures. Their functional effects are heterogeneous and</w:t>
      </w:r>
      <w:r>
        <w:t xml:space="preserve"> </w:t>
      </w:r>
      <w:r>
        <w:t xml:space="preserve">should not be generalized beyond the populations and endpoints studied.</w:t>
      </w:r>
      <w:r>
        <w:t xml:space="preserve"> </w:t>
      </w:r>
      <w:r>
        <w:t xml:space="preserve">TMG is mechanistically coherent when methyl-donor support is indicated,</w:t>
      </w:r>
      <w:r>
        <w:t xml:space="preserve"> </w:t>
      </w:r>
      <w:r>
        <w:t xml:space="preserve">but automatic use is contradicted by human methylation data and by its</w:t>
      </w:r>
      <w:r>
        <w:t xml:space="preserve"> </w:t>
      </w:r>
      <w:r>
        <w:t xml:space="preserve">own lipid trade-offs.</w:t>
      </w:r>
    </w:p>
    <w:p>
      <w:pPr>
        <w:pStyle w:val="BodyText"/>
      </w:pPr>
      <w:r>
        <w:t xml:space="preserve">The Clinic Terrain position is not that every patient should receive</w:t>
      </w:r>
      <w:r>
        <w:t xml:space="preserve"> </w:t>
      </w:r>
      <w:r>
        <w:t xml:space="preserve">NAD-directed therapy. It is that the intervention can be used</w:t>
      </w:r>
      <w:r>
        <w:t xml:space="preserve"> </w:t>
      </w:r>
      <w:r>
        <w:t xml:space="preserve">intelligently when the suspected deficit, delivery route, tissue</w:t>
      </w:r>
      <w:r>
        <w:t xml:space="preserve"> </w:t>
      </w:r>
      <w:r>
        <w:t xml:space="preserve">distribution, active drain and measured response form a coherent and</w:t>
      </w:r>
      <w:r>
        <w:t xml:space="preserve"> </w:t>
      </w:r>
      <w:r>
        <w:t xml:space="preserve">falsifiable whole.</w:t>
      </w:r>
    </w:p>
    <w:bookmarkStart w:id="90" w:name="clinical-bottom-line"/>
    <w:p>
      <w:pPr>
        <w:pStyle w:val="Heading3"/>
      </w:pPr>
      <w:r>
        <w:t xml:space="preserve">Clinical bottom line</w:t>
      </w:r>
    </w:p>
    <w:p>
      <w:pPr>
        <w:pStyle w:val="FirstParagraph"/>
      </w:pPr>
      <w:r>
        <w:t xml:space="preserve">A universal recommendation of NAD+ precursors or intravenous NAD+ for</w:t>
      </w:r>
      <w:r>
        <w:t xml:space="preserve"> </w:t>
      </w:r>
      <w:r>
        <w:t xml:space="preserve">general fatigue, cognitive complaints or wellness is scientifically</w:t>
      </w:r>
      <w:r>
        <w:t xml:space="preserve"> </w:t>
      </w:r>
      <w:r>
        <w:t xml:space="preserve">incoherent because NAD constraint is not a universal diagnosis and</w:t>
      </w:r>
      <w:r>
        <w:t xml:space="preserve"> </w:t>
      </w:r>
      <w:r>
        <w:t xml:space="preserve">biochemical engagement is not a universal clinical response.</w:t>
      </w:r>
      <w:r>
        <w:t xml:space="preserve"> </w:t>
      </w:r>
      <w:r>
        <w:t xml:space="preserve">Individualized use becomes coherent when it is framed as a structured</w:t>
      </w:r>
      <w:r>
        <w:t xml:space="preserve"> </w:t>
      </w:r>
      <w:r>
        <w:t xml:space="preserve">therapeutic trial with a defined mechanistic hypothesis, explicit target</w:t>
      </w:r>
      <w:r>
        <w:t xml:space="preserve"> </w:t>
      </w:r>
      <w:r>
        <w:t xml:space="preserve">outcomes, objective or reproducible response measures,</w:t>
      </w:r>
      <w:r>
        <w:t xml:space="preserve"> </w:t>
      </w:r>
      <w:r>
        <w:t xml:space="preserve">quality-controlled material and stopping rules established before</w:t>
      </w:r>
      <w:r>
        <w:t xml:space="preserve"> </w:t>
      </w:r>
      <w:r>
        <w:t xml:space="preserve">escalation. Absence of response is a result, not an invitation to</w:t>
      </w:r>
      <w:r>
        <w:t xml:space="preserve"> </w:t>
      </w:r>
      <w:r>
        <w:t xml:space="preserve">preserve the hypothesis indefinitely.</w:t>
      </w:r>
    </w:p>
    <w:p>
      <w:pPr>
        <w:pStyle w:val="BodyText"/>
      </w:pPr>
      <w:r>
        <w:t xml:space="preserve">This position is neither an apology nor a regulatory retreat. It is a</w:t>
      </w:r>
      <w:r>
        <w:t xml:space="preserve"> </w:t>
      </w:r>
      <w:r>
        <w:t xml:space="preserve">direct consequence of pathway biology: the clinical value of NAD</w:t>
      </w:r>
      <w:r>
        <w:t xml:space="preserve"> </w:t>
      </w:r>
      <w:r>
        <w:t xml:space="preserve">restoration depends on deficit, delivery, distribution, drain and</w:t>
      </w:r>
      <w:r>
        <w:t xml:space="preserve"> </w:t>
      </w:r>
      <w:r>
        <w:t xml:space="preserve">demonstrated response.</w:t>
      </w:r>
    </w:p>
    <w:bookmarkEnd w:id="90"/>
    <w:bookmarkEnd w:id="91"/>
    <w:bookmarkStart w:id="92" w:name="X6f0decb488f133f6ea7ab85a2de767d0cb38f27"/>
    <w:p>
      <w:pPr>
        <w:pStyle w:val="Heading2"/>
      </w:pPr>
      <w:r>
        <w:t xml:space="preserve">21. Authorship, declarations and verification</w:t>
      </w:r>
    </w:p>
    <w:p>
      <w:pPr>
        <w:pStyle w:val="FirstParagraph"/>
      </w:pPr>
      <w:r>
        <w:rPr>
          <w:bCs/>
          <w:b/>
        </w:rPr>
        <w:t xml:space="preserve">Author and contributions:</w:t>
      </w:r>
      <w:r>
        <w:t xml:space="preserve"> </w:t>
      </w:r>
      <w:r>
        <w:t xml:space="preserve">Valentine Wibowo, Clinical Researcher,</w:t>
      </w:r>
      <w:r>
        <w:t xml:space="preserve"> </w:t>
      </w:r>
      <w:r>
        <w:t xml:space="preserve">Clinic Terrain Clinical Intelligence Unit, conceptualized the</w:t>
      </w:r>
      <w:r>
        <w:t xml:space="preserve"> </w:t>
      </w:r>
      <w:r>
        <w:t xml:space="preserve">monograph, conducted the evidence synthesis, interpreted the findings</w:t>
      </w:r>
      <w:r>
        <w:t xml:space="preserve"> </w:t>
      </w:r>
      <w:r>
        <w:t xml:space="preserve">and drafted the manuscript. She approved the final version and accepts</w:t>
      </w:r>
      <w:r>
        <w:t xml:space="preserve"> </w:t>
      </w:r>
      <w:r>
        <w:t xml:space="preserve">responsibility for the integrity of the work.</w:t>
      </w:r>
    </w:p>
    <w:p>
      <w:pPr>
        <w:pStyle w:val="BodyText"/>
      </w:pPr>
      <w:r>
        <w:rPr>
          <w:bCs/>
          <w:b/>
        </w:rPr>
        <w:t xml:space="preserve">Medical review:</w:t>
      </w:r>
      <w:r>
        <w:t xml:space="preserve"> </w:t>
      </w:r>
      <w:r>
        <w:t xml:space="preserve">dr. I Wayan Cahyadi Surya Distira Putra, MPH reviewed</w:t>
      </w:r>
      <w:r>
        <w:t xml:space="preserve"> </w:t>
      </w:r>
      <w:r>
        <w:t xml:space="preserve">the manuscript for medical coherence, clinical interpretation and</w:t>
      </w:r>
      <w:r>
        <w:t xml:space="preserve"> </w:t>
      </w:r>
      <w:r>
        <w:t xml:space="preserve">safety framing, and approved the final version. This internal medical</w:t>
      </w:r>
      <w:r>
        <w:t xml:space="preserve"> </w:t>
      </w:r>
      <w:r>
        <w:t xml:space="preserve">review is not represented as independent external peer review.</w:t>
      </w:r>
    </w:p>
    <w:p>
      <w:pPr>
        <w:pStyle w:val="BodyText"/>
      </w:pPr>
      <w:r>
        <w:rPr>
          <w:bCs/>
          <w:b/>
        </w:rPr>
        <w:t xml:space="preserve">Competing interests and institutional relationships:</w:t>
      </w:r>
      <w:r>
        <w:t xml:space="preserve"> </w:t>
      </w:r>
      <w:r>
        <w:t xml:space="preserve">Valentine</w:t>
      </w:r>
      <w:r>
        <w:t xml:space="preserve"> </w:t>
      </w:r>
      <w:r>
        <w:t xml:space="preserve">Wibowo declares no personal financial competing interests. She is</w:t>
      </w:r>
      <w:r>
        <w:t xml:space="preserve"> </w:t>
      </w:r>
      <w:r>
        <w:t xml:space="preserve">affiliated with the Clinic Terrain Clinical Intelligence Unit. Clinic</w:t>
      </w:r>
      <w:r>
        <w:t xml:space="preserve"> </w:t>
      </w:r>
      <w:r>
        <w:t xml:space="preserve">Terrain and Klinik Pratama Cepat Sehat provide NAD+-related clinical</w:t>
      </w:r>
      <w:r>
        <w:t xml:space="preserve"> </w:t>
      </w:r>
      <w:r>
        <w:t xml:space="preserve">services. This institutional relationship is disclosed for</w:t>
      </w:r>
      <w:r>
        <w:t xml:space="preserve"> </w:t>
      </w:r>
      <w:r>
        <w:t xml:space="preserve">transparency. The medical reviewer declares no personal financial</w:t>
      </w:r>
      <w:r>
        <w:t xml:space="preserve"> </w:t>
      </w:r>
      <w:r>
        <w:t xml:space="preserve">competing interests and is affiliated with the same clinical</w:t>
      </w:r>
      <w:r>
        <w:t xml:space="preserve"> </w:t>
      </w:r>
      <w:r>
        <w:t xml:space="preserve">institution. Neither author compensation nor manuscript conclusions was</w:t>
      </w:r>
      <w:r>
        <w:t xml:space="preserve"> </w:t>
      </w:r>
      <w:r>
        <w:t xml:space="preserve">contingent on the commercial performance of any NAD+-related service.</w:t>
      </w:r>
    </w:p>
    <w:p>
      <w:pPr>
        <w:pStyle w:val="BodyText"/>
      </w:pPr>
      <w:r>
        <w:rPr>
          <w:bCs/>
          <w:b/>
        </w:rPr>
        <w:t xml:space="preserve">Funding:</w:t>
      </w:r>
      <w:r>
        <w:t xml:space="preserve"> </w:t>
      </w:r>
      <w:r>
        <w:t xml:space="preserve">No external scientific funding was received for this</w:t>
      </w:r>
      <w:r>
        <w:t xml:space="preserve"> </w:t>
      </w:r>
      <w:r>
        <w:t xml:space="preserve">monograph. Institutional time and resources were provided by Clinic</w:t>
      </w:r>
      <w:r>
        <w:t xml:space="preserve"> </w:t>
      </w:r>
      <w:r>
        <w:t xml:space="preserve">Terrain and Klinik Pratama Cepat Sehat.</w:t>
      </w:r>
    </w:p>
    <w:p>
      <w:pPr>
        <w:pStyle w:val="BodyText"/>
      </w:pPr>
      <w:r>
        <w:rPr>
          <w:bCs/>
          <w:b/>
        </w:rPr>
        <w:t xml:space="preserve">Computational assistance:</w:t>
      </w:r>
      <w:r>
        <w:t xml:space="preserve"> </w:t>
      </w:r>
      <w:r>
        <w:t xml:space="preserve">Computational tools assisted literature</w:t>
      </w:r>
      <w:r>
        <w:t xml:space="preserve"> </w:t>
      </w:r>
      <w:r>
        <w:t xml:space="preserve">organization, consistency checks, bibliographic reconciliation and</w:t>
      </w:r>
      <w:r>
        <w:t xml:space="preserve"> </w:t>
      </w:r>
      <w:r>
        <w:t xml:space="preserve">language editing. They are not authors. Valentine Wibowo reviewed and</w:t>
      </w:r>
      <w:r>
        <w:t xml:space="preserve"> </w:t>
      </w:r>
      <w:r>
        <w:t xml:space="preserve">approved the manuscript and accepts responsibility for its accuracy,</w:t>
      </w:r>
      <w:r>
        <w:t xml:space="preserve"> </w:t>
      </w:r>
      <w:r>
        <w:t xml:space="preserve">interpretation and integrity.</w:t>
      </w:r>
    </w:p>
    <w:p>
      <w:pPr>
        <w:pStyle w:val="BodyText"/>
      </w:pPr>
      <w:r>
        <w:rPr>
          <w:bCs/>
          <w:b/>
        </w:rPr>
        <w:t xml:space="preserve">Patient data and ethics:</w:t>
      </w:r>
      <w:r>
        <w:t xml:space="preserve"> </w:t>
      </w:r>
      <w:r>
        <w:t xml:space="preserve">No patient-level data, identifiable patient</w:t>
      </w:r>
      <w:r>
        <w:t xml:space="preserve"> </w:t>
      </w:r>
      <w:r>
        <w:t xml:space="preserve">information or newly conducted human-subject research are reported in</w:t>
      </w:r>
      <w:r>
        <w:t xml:space="preserve"> </w:t>
      </w:r>
      <w:r>
        <w:t xml:space="preserve">this monograph. Research-ethics approval and protocol registration were</w:t>
      </w:r>
      <w:r>
        <w:t xml:space="preserve"> </w:t>
      </w:r>
      <w:r>
        <w:t xml:space="preserve">therefore not applicable to this work.</w:t>
      </w:r>
    </w:p>
    <w:p>
      <w:pPr>
        <w:pStyle w:val="BodyText"/>
      </w:pPr>
      <w:r>
        <w:rPr>
          <w:bCs/>
          <w:b/>
        </w:rPr>
        <w:t xml:space="preserve">Reference-verification statement:</w:t>
      </w:r>
      <w:r>
        <w:t xml:space="preserve"> </w:t>
      </w:r>
      <w:r>
        <w:t xml:space="preserve">All 59 PubMed identifiers,</w:t>
      </w:r>
      <w:r>
        <w:t xml:space="preserve"> </w:t>
      </w:r>
      <w:r>
        <w:t xml:space="preserve">article titles and core bibliographic records were checked against the</w:t>
      </w:r>
      <w:r>
        <w:t xml:space="preserve"> </w:t>
      </w:r>
      <w:r>
        <w:t xml:space="preserve">corresponding PubMed records. Material quantitative claims were checked</w:t>
      </w:r>
      <w:r>
        <w:t xml:space="preserve"> </w:t>
      </w:r>
      <w:r>
        <w:t xml:space="preserve">against indexed abstracts and, where required for interpretation,</w:t>
      </w:r>
      <w:r>
        <w:t xml:space="preserve"> </w:t>
      </w:r>
      <w:r>
        <w:t xml:space="preserve">accessible full text. Abstract-level verification is not represented as</w:t>
      </w:r>
      <w:r>
        <w:t xml:space="preserve"> </w:t>
      </w:r>
      <w:r>
        <w:t xml:space="preserve">full-text verification. The verification confirmed bibliographic</w:t>
      </w:r>
      <w:r>
        <w:t xml:space="preserve"> </w:t>
      </w:r>
      <w:r>
        <w:t xml:space="preserve">correspondence and the reporting of the cited sources; it does not</w:t>
      </w:r>
      <w:r>
        <w:t xml:space="preserve"> </w:t>
      </w:r>
      <w:r>
        <w:t xml:space="preserve">constitute independent replication of the underlying studies.</w:t>
      </w:r>
    </w:p>
    <w:p>
      <w:pPr>
        <w:pStyle w:val="BodyText"/>
      </w:pPr>
      <w:r>
        <w:rPr>
          <w:bCs/>
          <w:b/>
        </w:rPr>
        <w:t xml:space="preserve">Attestations:</w:t>
      </w:r>
      <w:r>
        <w:t xml:space="preserve"> </w:t>
      </w:r>
      <w:r>
        <w:t xml:space="preserve">The author declaration and medical-review approval</w:t>
      </w:r>
      <w:r>
        <w:t xml:space="preserve"> </w:t>
      </w:r>
      <w:r>
        <w:t xml:space="preserve">have been signed.</w:t>
      </w:r>
    </w:p>
    <w:p>
      <w:pPr>
        <w:pStyle w:val="BodyText"/>
      </w:pPr>
      <w:r>
        <w:rPr>
          <w:bCs/>
          <w:b/>
        </w:rPr>
        <w:t xml:space="preserve">Update policy:</w:t>
      </w:r>
      <w:r>
        <w:t xml:space="preserve"> </w:t>
      </w:r>
      <w:r>
        <w:t xml:space="preserve">The evidence search and claim matrix will be rerun at</w:t>
      </w:r>
      <w:r>
        <w:t xml:space="preserve"> </w:t>
      </w:r>
      <w:r>
        <w:t xml:space="preserve">least annually and after any material human trial, safety signal or</w:t>
      </w:r>
      <w:r>
        <w:t xml:space="preserve"> </w:t>
      </w:r>
      <w:r>
        <w:t xml:space="preserve">change in the intervention framework.</w:t>
      </w:r>
    </w:p>
    <w:bookmarkEnd w:id="92"/>
    <w:bookmarkStart w:id="152" w:name="X62ed944a5329438665346b981d8db4de7e4960f"/>
    <w:p>
      <w:pPr>
        <w:pStyle w:val="Heading2"/>
      </w:pPr>
      <w:r>
        <w:t xml:space="preserve">22. References</w:t>
      </w:r>
    </w:p>
    <w:p>
      <w:pPr>
        <w:numPr>
          <w:ilvl w:val="0"/>
          <w:numId w:val="1019"/>
        </w:numPr>
      </w:pPr>
      <w:r>
        <w:t xml:space="preserve">Kory N, Uit de Bos J, van der Rijt S, Jankovic N, Güra M, Arp N, et al. MCART1/SLC25A51 is required for mitochondrial NAD transport.</w:t>
      </w:r>
      <w:r>
        <w:t xml:space="preserve"> </w:t>
      </w:r>
      <w:r>
        <w:rPr>
          <w:iCs/>
          <w:i/>
        </w:rPr>
        <w:t xml:space="preserve">Sci Adv</w:t>
      </w:r>
      <w:r>
        <w:t xml:space="preserve">. 2020;6(43):eabe5310. DOI: 10.1126/sciadv.abe5310. PMID: 33087354.</w:t>
      </w:r>
      <w:r>
        <w:t xml:space="preserve"> </w:t>
      </w:r>
      <w:hyperlink r:id="rId93">
        <w:r>
          <w:rPr>
            <w:rStyle w:val="Hyperlink"/>
          </w:rPr>
          <w:t xml:space="preserve">https://pubmed.ncbi.nlm.nih.gov/33087354/</w:t>
        </w:r>
      </w:hyperlink>
    </w:p>
    <w:p>
      <w:pPr>
        <w:numPr>
          <w:ilvl w:val="0"/>
          <w:numId w:val="1019"/>
        </w:numPr>
      </w:pPr>
      <w:r>
        <w:t xml:space="preserve">Güldenpfennig A, Hopp AK, Muskalla L, Manetsch P, Raith F, Hellweg L, et al. Absence of mitochondrial SLC25A51 enhances PARP1-dependent DNA repair by increasing nuclear NAD+ levels.</w:t>
      </w:r>
      <w:r>
        <w:t xml:space="preserve"> </w:t>
      </w:r>
      <w:r>
        <w:rPr>
          <w:iCs/>
          <w:i/>
        </w:rPr>
        <w:t xml:space="preserve">Nucleic Acids Res</w:t>
      </w:r>
      <w:r>
        <w:t xml:space="preserve">. 2023;51(17):9248-9265. DOI: 10.1093/nar/gkad659. PMID: 37587695.</w:t>
      </w:r>
      <w:r>
        <w:t xml:space="preserve"> </w:t>
      </w:r>
      <w:hyperlink r:id="rId94">
        <w:r>
          <w:rPr>
            <w:rStyle w:val="Hyperlink"/>
          </w:rPr>
          <w:t xml:space="preserve">https://pubmed.ncbi.nlm.nih.gov/37587695/</w:t>
        </w:r>
      </w:hyperlink>
    </w:p>
    <w:p>
      <w:pPr>
        <w:numPr>
          <w:ilvl w:val="0"/>
          <w:numId w:val="1019"/>
        </w:numPr>
      </w:pPr>
      <w:r>
        <w:t xml:space="preserve">Chini CCS, Peclat TR, Warner GM, Kashyap S, Espindola-Netto JM, de Oliveira GC, et al. CD38 ecto-enzyme in immune cells is induced during aging and regulates NAD+ and NMN levels.</w:t>
      </w:r>
      <w:r>
        <w:t xml:space="preserve"> </w:t>
      </w:r>
      <w:r>
        <w:rPr>
          <w:iCs/>
          <w:i/>
        </w:rPr>
        <w:t xml:space="preserve">Nat Metab</w:t>
      </w:r>
      <w:r>
        <w:t xml:space="preserve">. 2020;2(11):1284-1304. DOI: 10.1038/s42255-020-00298-z. PMID: 33199925.</w:t>
      </w:r>
      <w:r>
        <w:t xml:space="preserve"> </w:t>
      </w:r>
      <w:hyperlink r:id="rId95">
        <w:r>
          <w:rPr>
            <w:rStyle w:val="Hyperlink"/>
          </w:rPr>
          <w:t xml:space="preserve">https://pubmed.ncbi.nlm.nih.gov/33199925/</w:t>
        </w:r>
      </w:hyperlink>
    </w:p>
    <w:p>
      <w:pPr>
        <w:numPr>
          <w:ilvl w:val="0"/>
          <w:numId w:val="1019"/>
        </w:numPr>
      </w:pPr>
      <w:r>
        <w:t xml:space="preserve">Covarrubias AJ, Kale A, Perrone R, Lopez-Dominguez JA, Pisco AO, Kasler HG, et al. Senescent cells promote tissue NAD+ decline during ageing via the activation of CD38+ macrophages.</w:t>
      </w:r>
      <w:r>
        <w:t xml:space="preserve"> </w:t>
      </w:r>
      <w:r>
        <w:rPr>
          <w:iCs/>
          <w:i/>
        </w:rPr>
        <w:t xml:space="preserve">Nat Metab</w:t>
      </w:r>
      <w:r>
        <w:t xml:space="preserve">. 2020;2(11):1265-1283. DOI: 10.1038/s42255-020-00305-3. PMID: 33199924.</w:t>
      </w:r>
      <w:r>
        <w:t xml:space="preserve"> </w:t>
      </w:r>
      <w:hyperlink r:id="rId96">
        <w:r>
          <w:rPr>
            <w:rStyle w:val="Hyperlink"/>
          </w:rPr>
          <w:t xml:space="preserve">https://pubmed.ncbi.nlm.nih.gov/33199924/</w:t>
        </w:r>
      </w:hyperlink>
    </w:p>
    <w:p>
      <w:pPr>
        <w:numPr>
          <w:ilvl w:val="0"/>
          <w:numId w:val="1019"/>
        </w:numPr>
      </w:pPr>
      <w:r>
        <w:t xml:space="preserve">Chini C, Hogan KA, Warner GM, Tarragó MG, Peclat TR, Tchkonia T, et al. The NADase CD38 is induced by factors secreted from senescent cells providing a potential link between senescence and age-related cellular NAD+ decline.</w:t>
      </w:r>
      <w:r>
        <w:t xml:space="preserve"> </w:t>
      </w:r>
      <w:r>
        <w:rPr>
          <w:iCs/>
          <w:i/>
        </w:rPr>
        <w:t xml:space="preserve">Biochem Biophys Res Commun</w:t>
      </w:r>
      <w:r>
        <w:t xml:space="preserve">. 2019;513(2):486-493. DOI: 10.1016/j.bbrc.2019.03.199. PMID: 30975470.</w:t>
      </w:r>
      <w:r>
        <w:t xml:space="preserve"> </w:t>
      </w:r>
      <w:hyperlink r:id="rId97">
        <w:r>
          <w:rPr>
            <w:rStyle w:val="Hyperlink"/>
          </w:rPr>
          <w:t xml:space="preserve">https://pubmed.ncbi.nlm.nih.gov/30975470/</w:t>
        </w:r>
      </w:hyperlink>
    </w:p>
    <w:p>
      <w:pPr>
        <w:numPr>
          <w:ilvl w:val="0"/>
          <w:numId w:val="1019"/>
        </w:numPr>
      </w:pPr>
      <w:r>
        <w:t xml:space="preserve">Grant R, Berg J, Mestayer R, Braidy N, Bennett J, Broom S, et al. A Pilot Study Investigating Changes in the Human Plasma and Urine NAD+ Metabolome During a 6 Hour Intravenous Infusion of NAD.</w:t>
      </w:r>
      <w:r>
        <w:t xml:space="preserve"> </w:t>
      </w:r>
      <w:r>
        <w:rPr>
          <w:iCs/>
          <w:i/>
        </w:rPr>
        <w:t xml:space="preserve">Front Aging Neurosci</w:t>
      </w:r>
      <w:r>
        <w:t xml:space="preserve">. 2019;11:257. DOI: 10.3389/fnagi.2019.00257. PMID: 31572171.</w:t>
      </w:r>
      <w:r>
        <w:t xml:space="preserve"> </w:t>
      </w:r>
      <w:hyperlink r:id="rId98">
        <w:r>
          <w:rPr>
            <w:rStyle w:val="Hyperlink"/>
          </w:rPr>
          <w:t xml:space="preserve">https://pubmed.ncbi.nlm.nih.gov/31572171/</w:t>
        </w:r>
      </w:hyperlink>
    </w:p>
    <w:p>
      <w:pPr>
        <w:numPr>
          <w:ilvl w:val="0"/>
          <w:numId w:val="1019"/>
        </w:numPr>
      </w:pPr>
      <w:r>
        <w:t xml:space="preserve">Reyna K, Heinzen G, Patel N, Ritter M, Siojo A, Legere H, et al. Intravenous infusion of nicotinamide adenine dinucleotide (NAD+) versus nicotinamide riboside (NR): a retrospective tolerability pilot study in a real-world setting.</w:t>
      </w:r>
      <w:r>
        <w:t xml:space="preserve"> </w:t>
      </w:r>
      <w:r>
        <w:rPr>
          <w:iCs/>
          <w:i/>
        </w:rPr>
        <w:t xml:space="preserve">Front Aging</w:t>
      </w:r>
      <w:r>
        <w:t xml:space="preserve">. 2026;7:1652582. DOI: 10.3389/fragi.2026.1652582. PMID: 41704678.</w:t>
      </w:r>
      <w:r>
        <w:t xml:space="preserve"> </w:t>
      </w:r>
      <w:hyperlink r:id="rId99">
        <w:r>
          <w:rPr>
            <w:rStyle w:val="Hyperlink"/>
          </w:rPr>
          <w:t xml:space="preserve">https://pubmed.ncbi.nlm.nih.gov/41704678/</w:t>
        </w:r>
      </w:hyperlink>
    </w:p>
    <w:p>
      <w:pPr>
        <w:numPr>
          <w:ilvl w:val="0"/>
          <w:numId w:val="1019"/>
        </w:numPr>
      </w:pPr>
      <w:r>
        <w:t xml:space="preserve">Gallagher C, Emmanuel OO. NAD⁺ supplementation for anti-aging and wellness: A PRISMA-guided systematic review of preclinical and clinical evidence.</w:t>
      </w:r>
      <w:r>
        <w:t xml:space="preserve"> </w:t>
      </w:r>
      <w:r>
        <w:rPr>
          <w:iCs/>
          <w:i/>
        </w:rPr>
        <w:t xml:space="preserve">Ageing Res Rev</w:t>
      </w:r>
      <w:r>
        <w:t xml:space="preserve">. 2026;116:103057. DOI: 10.1016/j.arr.2026.103057. PMID: 41655607.</w:t>
      </w:r>
      <w:r>
        <w:t xml:space="preserve"> </w:t>
      </w:r>
      <w:hyperlink r:id="rId100">
        <w:r>
          <w:rPr>
            <w:rStyle w:val="Hyperlink"/>
          </w:rPr>
          <w:t xml:space="preserve">https://pubmed.ncbi.nlm.nih.gov/41655607/</w:t>
        </w:r>
      </w:hyperlink>
    </w:p>
    <w:p>
      <w:pPr>
        <w:numPr>
          <w:ilvl w:val="0"/>
          <w:numId w:val="1019"/>
        </w:numPr>
      </w:pPr>
      <w:r>
        <w:t xml:space="preserve">Dellinger RW, Santos SR, Morris M, Evans M, Alminana D, Guarente L, et al. Repeat dose NRPT (nicotinamide riboside and pterostilbene) increases NAD+ levels in humans safely and sustainably: a randomized, double-blind, placebo-controlled study.</w:t>
      </w:r>
      <w:r>
        <w:t xml:space="preserve"> </w:t>
      </w:r>
      <w:r>
        <w:rPr>
          <w:iCs/>
          <w:i/>
        </w:rPr>
        <w:t xml:space="preserve">NPJ Aging Mech Dis</w:t>
      </w:r>
      <w:r>
        <w:t xml:space="preserve">. 2017;3:17. DOI: 10.1038/s41514-017-0016-9. PMID: 29184669.</w:t>
      </w:r>
      <w:r>
        <w:t xml:space="preserve"> </w:t>
      </w:r>
      <w:hyperlink r:id="rId101">
        <w:r>
          <w:rPr>
            <w:rStyle w:val="Hyperlink"/>
          </w:rPr>
          <w:t xml:space="preserve">https://pubmed.ncbi.nlm.nih.gov/29184669/</w:t>
        </w:r>
      </w:hyperlink>
    </w:p>
    <w:p>
      <w:pPr>
        <w:numPr>
          <w:ilvl w:val="0"/>
          <w:numId w:val="1019"/>
        </w:numPr>
      </w:pPr>
      <w:r>
        <w:t xml:space="preserve">Conze D, Brenner C, Kruger CL. Safety and Metabolism of Long-term Administration of NIAGEN (Nicotinamide Riboside Chloride) in a Randomized, Double-Blind, Placebo-controlled Clinical Trial of Healthy Overweight Adults.</w:t>
      </w:r>
      <w:r>
        <w:t xml:space="preserve"> </w:t>
      </w:r>
      <w:r>
        <w:rPr>
          <w:iCs/>
          <w:i/>
        </w:rPr>
        <w:t xml:space="preserve">Sci Rep</w:t>
      </w:r>
      <w:r>
        <w:t xml:space="preserve">. 2019;9(1):9772. DOI: 10.1038/s41598-019-46120-z. PMID: 31278280.</w:t>
      </w:r>
      <w:r>
        <w:t xml:space="preserve"> </w:t>
      </w:r>
      <w:hyperlink r:id="rId102">
        <w:r>
          <w:rPr>
            <w:rStyle w:val="Hyperlink"/>
          </w:rPr>
          <w:t xml:space="preserve">https://pubmed.ncbi.nlm.nih.gov/31278280/</w:t>
        </w:r>
      </w:hyperlink>
    </w:p>
    <w:p>
      <w:pPr>
        <w:numPr>
          <w:ilvl w:val="0"/>
          <w:numId w:val="1019"/>
        </w:numPr>
      </w:pPr>
      <w:r>
        <w:t xml:space="preserve">Martens CR, Denman BA, Mazzo MR, Armstrong ML, Reisdorph N, McQueen MB, et al. Chronic nicotinamide riboside supplementation is well-tolerated and elevates NAD+ in healthy middle-aged and older adults.</w:t>
      </w:r>
      <w:r>
        <w:t xml:space="preserve"> </w:t>
      </w:r>
      <w:r>
        <w:rPr>
          <w:iCs/>
          <w:i/>
        </w:rPr>
        <w:t xml:space="preserve">Nat Commun</w:t>
      </w:r>
      <w:r>
        <w:t xml:space="preserve">. 2018;9(1):1286. DOI: 10.1038/s41467-018-03421-7. PMID: 29599478.</w:t>
      </w:r>
      <w:r>
        <w:t xml:space="preserve"> </w:t>
      </w:r>
      <w:hyperlink r:id="rId103">
        <w:r>
          <w:rPr>
            <w:rStyle w:val="Hyperlink"/>
          </w:rPr>
          <w:t xml:space="preserve">https://pubmed.ncbi.nlm.nih.gov/29599478/</w:t>
        </w:r>
      </w:hyperlink>
    </w:p>
    <w:p>
      <w:pPr>
        <w:numPr>
          <w:ilvl w:val="0"/>
          <w:numId w:val="1019"/>
        </w:numPr>
      </w:pPr>
      <w:r>
        <w:t xml:space="preserve">Elhassan YS, Kluckova K, Fletcher RS, Schmidt MS, Garten A, Doig CL, et al. Nicotinamide Riboside Augments the Aged Human Skeletal Muscle NAD+ Metabolome and Induces Transcriptomic and Anti-inflammatory Signatures.</w:t>
      </w:r>
      <w:r>
        <w:t xml:space="preserve"> </w:t>
      </w:r>
      <w:r>
        <w:rPr>
          <w:iCs/>
          <w:i/>
        </w:rPr>
        <w:t xml:space="preserve">Cell Rep</w:t>
      </w:r>
      <w:r>
        <w:t xml:space="preserve">. 2019;28(7):1717-1728.e6. DOI: 10.1016/j.celrep.2019.07.043. PMID: 31412242.</w:t>
      </w:r>
      <w:r>
        <w:t xml:space="preserve"> </w:t>
      </w:r>
      <w:hyperlink r:id="rId104">
        <w:r>
          <w:rPr>
            <w:rStyle w:val="Hyperlink"/>
          </w:rPr>
          <w:t xml:space="preserve">https://pubmed.ncbi.nlm.nih.gov/31412242/</w:t>
        </w:r>
      </w:hyperlink>
    </w:p>
    <w:p>
      <w:pPr>
        <w:numPr>
          <w:ilvl w:val="0"/>
          <w:numId w:val="1019"/>
        </w:numPr>
      </w:pPr>
      <w:r>
        <w:t xml:space="preserve">Dollerup OL, Chubanava S, Agerholm M, Søndergård SD, Altıntaş A, Møller AB, et al. Nicotinamide riboside does not alter mitochondrial respiration, content or morphology in skeletal muscle from obese and insulin-resistant men.</w:t>
      </w:r>
      <w:r>
        <w:t xml:space="preserve"> </w:t>
      </w:r>
      <w:r>
        <w:rPr>
          <w:iCs/>
          <w:i/>
        </w:rPr>
        <w:t xml:space="preserve">J Physiol</w:t>
      </w:r>
      <w:r>
        <w:t xml:space="preserve">. 2020;598(4):731-754. DOI: 10.1113/JP278752. PMID: 31710095.</w:t>
      </w:r>
      <w:r>
        <w:t xml:space="preserve"> </w:t>
      </w:r>
      <w:hyperlink r:id="rId105">
        <w:r>
          <w:rPr>
            <w:rStyle w:val="Hyperlink"/>
          </w:rPr>
          <w:t xml:space="preserve">https://pubmed.ncbi.nlm.nih.gov/31710095/</w:t>
        </w:r>
      </w:hyperlink>
    </w:p>
    <w:p>
      <w:pPr>
        <w:numPr>
          <w:ilvl w:val="0"/>
          <w:numId w:val="1019"/>
        </w:numPr>
      </w:pPr>
      <w:r>
        <w:t xml:space="preserve">Remie CME, Roumans KHM, Moonen MPB, Connell NJ, Havekes B, Mevenkamp J, et al. Nicotinamide riboside supplementation alters body composition and skeletal muscle acetylcarnitine concentrations in healthy obese humans.</w:t>
      </w:r>
      <w:r>
        <w:t xml:space="preserve"> </w:t>
      </w:r>
      <w:r>
        <w:rPr>
          <w:iCs/>
          <w:i/>
        </w:rPr>
        <w:t xml:space="preserve">Am J Clin Nutr</w:t>
      </w:r>
      <w:r>
        <w:t xml:space="preserve">. 2020;112(2):413-426. DOI: 10.1093/ajcn/nqaa072. PMID: 32320006.</w:t>
      </w:r>
      <w:r>
        <w:t xml:space="preserve"> </w:t>
      </w:r>
      <w:hyperlink r:id="rId106">
        <w:r>
          <w:rPr>
            <w:rStyle w:val="Hyperlink"/>
          </w:rPr>
          <w:t xml:space="preserve">https://pubmed.ncbi.nlm.nih.gov/32320006/</w:t>
        </w:r>
      </w:hyperlink>
    </w:p>
    <w:p>
      <w:pPr>
        <w:numPr>
          <w:ilvl w:val="0"/>
          <w:numId w:val="1019"/>
        </w:numPr>
      </w:pPr>
      <w:r>
        <w:t xml:space="preserve">Yoshino M, Yoshino J, Kayser BD, Patti GJ, Franczyk MP, Mills KF, et al. Nicotinamide mononucleotide increases muscle insulin sensitivity in prediabetic women.</w:t>
      </w:r>
      <w:r>
        <w:t xml:space="preserve"> </w:t>
      </w:r>
      <w:r>
        <w:rPr>
          <w:iCs/>
          <w:i/>
        </w:rPr>
        <w:t xml:space="preserve">Science</w:t>
      </w:r>
      <w:r>
        <w:t xml:space="preserve">. 2021;372(6547):1224-1229. DOI: 10.1126/science.abe9985. PMID: 33888596.</w:t>
      </w:r>
      <w:r>
        <w:t xml:space="preserve"> </w:t>
      </w:r>
      <w:hyperlink r:id="rId107">
        <w:r>
          <w:rPr>
            <w:rStyle w:val="Hyperlink"/>
          </w:rPr>
          <w:t xml:space="preserve">https://pubmed.ncbi.nlm.nih.gov/33888596/</w:t>
        </w:r>
      </w:hyperlink>
    </w:p>
    <w:p>
      <w:pPr>
        <w:numPr>
          <w:ilvl w:val="0"/>
          <w:numId w:val="1019"/>
        </w:numPr>
      </w:pPr>
      <w:r>
        <w:t xml:space="preserve">Brenner C. Comment on "Nicotinamide mononucleotide increases muscle insulin sensitivity in prediabetic women".</w:t>
      </w:r>
      <w:r>
        <w:t xml:space="preserve"> </w:t>
      </w:r>
      <w:r>
        <w:rPr>
          <w:iCs/>
          <w:i/>
        </w:rPr>
        <w:t xml:space="preserve">Science</w:t>
      </w:r>
      <w:r>
        <w:t xml:space="preserve">. 2021;373(6554):eabj1696. DOI: 10.1126/science.abj1696. PMID: 34326206.</w:t>
      </w:r>
      <w:r>
        <w:t xml:space="preserve"> </w:t>
      </w:r>
      <w:hyperlink r:id="rId108">
        <w:r>
          <w:rPr>
            <w:rStyle w:val="Hyperlink"/>
          </w:rPr>
          <w:t xml:space="preserve">https://pubmed.ncbi.nlm.nih.gov/34326206/</w:t>
        </w:r>
      </w:hyperlink>
    </w:p>
    <w:p>
      <w:pPr>
        <w:numPr>
          <w:ilvl w:val="0"/>
          <w:numId w:val="1019"/>
        </w:numPr>
      </w:pPr>
      <w:r>
        <w:t xml:space="preserve">Pencina KM, Valderrabano R, Wipper B, Orkaby AR, Reid KF, Storer T, et al. Nicotinamide Adenine Dinucleotide Augmentation in Overweight or Obese Middle-Aged and Older Adults: A Physiologic Study.</w:t>
      </w:r>
      <w:r>
        <w:t xml:space="preserve"> </w:t>
      </w:r>
      <w:r>
        <w:rPr>
          <w:iCs/>
          <w:i/>
        </w:rPr>
        <w:t xml:space="preserve">J Clin Endocrinol Metab</w:t>
      </w:r>
      <w:r>
        <w:t xml:space="preserve">. 2023;108(8):1968-1980. DOI: 10.1210/clinem/dgad027. PMID: 36740954.</w:t>
      </w:r>
      <w:r>
        <w:t xml:space="preserve"> </w:t>
      </w:r>
      <w:hyperlink r:id="rId109">
        <w:r>
          <w:rPr>
            <w:rStyle w:val="Hyperlink"/>
          </w:rPr>
          <w:t xml:space="preserve">https://pubmed.ncbi.nlm.nih.gov/36740954/</w:t>
        </w:r>
      </w:hyperlink>
    </w:p>
    <w:p>
      <w:pPr>
        <w:numPr>
          <w:ilvl w:val="0"/>
          <w:numId w:val="1019"/>
        </w:numPr>
      </w:pPr>
      <w:r>
        <w:t xml:space="preserve">Morifuji M, Higashi S, Ebihara S, Nagata M. Ingestion of β-nicotinamide mononucleotide increased blood NAD levels, maintained walking speed, and improved sleep quality in older adults in a double-blind randomized, placebo-controlled study.</w:t>
      </w:r>
      <w:r>
        <w:t xml:space="preserve"> </w:t>
      </w:r>
      <w:r>
        <w:rPr>
          <w:iCs/>
          <w:i/>
        </w:rPr>
        <w:t xml:space="preserve">Geroscience</w:t>
      </w:r>
      <w:r>
        <w:t xml:space="preserve">. 2024;46(5):4671-4688. DOI: 10.1007/s11357-024-01204-1. PMID: 38789831.</w:t>
      </w:r>
      <w:r>
        <w:t xml:space="preserve"> </w:t>
      </w:r>
      <w:hyperlink r:id="rId110">
        <w:r>
          <w:rPr>
            <w:rStyle w:val="Hyperlink"/>
          </w:rPr>
          <w:t xml:space="preserve">https://pubmed.ncbi.nlm.nih.gov/38789831/</w:t>
        </w:r>
      </w:hyperlink>
    </w:p>
    <w:p>
      <w:pPr>
        <w:numPr>
          <w:ilvl w:val="0"/>
          <w:numId w:val="1019"/>
        </w:numPr>
      </w:pPr>
      <w:r>
        <w:t xml:space="preserve">Katayoshi T, Uehata S, Nakashima N, Nakajo T, Kitajima N, Kageyama M, et al. Nicotinamide adenine dinucleotide metabolism and arterial stiffness after long-term nicotinamide mononucleotide supplementation: a randomized, double-blind, placebo-controlled trial.</w:t>
      </w:r>
      <w:r>
        <w:t xml:space="preserve"> </w:t>
      </w:r>
      <w:r>
        <w:rPr>
          <w:iCs/>
          <w:i/>
        </w:rPr>
        <w:t xml:space="preserve">Sci Rep</w:t>
      </w:r>
      <w:r>
        <w:t xml:space="preserve">. 2023;13(1):2786. DOI: 10.1038/s41598-023-29787-3. PMID: 36797393.</w:t>
      </w:r>
      <w:r>
        <w:t xml:space="preserve"> </w:t>
      </w:r>
      <w:hyperlink r:id="rId111">
        <w:r>
          <w:rPr>
            <w:rStyle w:val="Hyperlink"/>
          </w:rPr>
          <w:t xml:space="preserve">https://pubmed.ncbi.nlm.nih.gov/36797393/</w:t>
        </w:r>
      </w:hyperlink>
    </w:p>
    <w:p>
      <w:pPr>
        <w:numPr>
          <w:ilvl w:val="0"/>
          <w:numId w:val="1019"/>
        </w:numPr>
      </w:pPr>
      <w:r>
        <w:t xml:space="preserve">Chen F, Zhou D, Kong AP, Yim NT, Dai S, Chen YN, et al. Effects of Nicotinamide Mononucleotide on Glucose and Lipid Metabolism in Adults: A Systematic Review and Meta-analysis of Randomised Controlled Trials.</w:t>
      </w:r>
      <w:r>
        <w:t xml:space="preserve"> </w:t>
      </w:r>
      <w:r>
        <w:rPr>
          <w:iCs/>
          <w:i/>
        </w:rPr>
        <w:t xml:space="preserve">Curr Diab Rep</w:t>
      </w:r>
      <w:r>
        <w:t xml:space="preserve">. 2024;25(1):4. DOI: 10.1007/s11892-024-01557-z. PMID: 39531138.</w:t>
      </w:r>
      <w:r>
        <w:t xml:space="preserve"> </w:t>
      </w:r>
      <w:hyperlink r:id="rId112">
        <w:r>
          <w:rPr>
            <w:rStyle w:val="Hyperlink"/>
          </w:rPr>
          <w:t xml:space="preserve">https://pubmed.ncbi.nlm.nih.gov/39531138/</w:t>
        </w:r>
      </w:hyperlink>
    </w:p>
    <w:p>
      <w:pPr>
        <w:numPr>
          <w:ilvl w:val="0"/>
          <w:numId w:val="1019"/>
        </w:numPr>
      </w:pPr>
      <w:r>
        <w:t xml:space="preserve">Zhang J, Poon ET, Wong SH. Efficacy of oral nicotinamide mononucleotide supplementation on glucose and lipid metabolism for adults: a systematic review with meta-analysis on randomized controlled trials.</w:t>
      </w:r>
      <w:r>
        <w:t xml:space="preserve"> </w:t>
      </w:r>
      <w:r>
        <w:rPr>
          <w:iCs/>
          <w:i/>
        </w:rPr>
        <w:t xml:space="preserve">Crit Rev Food Sci Nutr</w:t>
      </w:r>
      <w:r>
        <w:t xml:space="preserve">. 2025;65(22):4382-4400. DOI: 10.1080/10408398.2024.2387324. PMID: 39116016.</w:t>
      </w:r>
      <w:r>
        <w:t xml:space="preserve"> </w:t>
      </w:r>
      <w:hyperlink r:id="rId113">
        <w:r>
          <w:rPr>
            <w:rStyle w:val="Hyperlink"/>
          </w:rPr>
          <w:t xml:space="preserve">https://pubmed.ncbi.nlm.nih.gov/39116016/</w:t>
        </w:r>
      </w:hyperlink>
    </w:p>
    <w:p>
      <w:pPr>
        <w:numPr>
          <w:ilvl w:val="0"/>
          <w:numId w:val="1019"/>
        </w:numPr>
      </w:pPr>
      <w:r>
        <w:t xml:space="preserve">Brakedal B, Dölle C, Riemer F, Ma Y, Nido GS, Skeie GO, et al. The NADPARK study: A randomized phase I trial of nicotinamide riboside supplementation in Parkinson's disease.</w:t>
      </w:r>
      <w:r>
        <w:t xml:space="preserve"> </w:t>
      </w:r>
      <w:r>
        <w:rPr>
          <w:iCs/>
          <w:i/>
        </w:rPr>
        <w:t xml:space="preserve">Cell Metab</w:t>
      </w:r>
      <w:r>
        <w:t xml:space="preserve">. 2022;34(3):396-407.e6. DOI: 10.1016/j.cmet.2022.02.001. PMID: 35235774.</w:t>
      </w:r>
      <w:r>
        <w:t xml:space="preserve"> </w:t>
      </w:r>
      <w:hyperlink r:id="rId114">
        <w:r>
          <w:rPr>
            <w:rStyle w:val="Hyperlink"/>
          </w:rPr>
          <w:t xml:space="preserve">https://pubmed.ncbi.nlm.nih.gov/35235774/</w:t>
        </w:r>
      </w:hyperlink>
    </w:p>
    <w:p>
      <w:pPr>
        <w:numPr>
          <w:ilvl w:val="0"/>
          <w:numId w:val="1019"/>
        </w:numPr>
      </w:pPr>
      <w:r>
        <w:t xml:space="preserve">Nanga RPR, Wiers CE, Elliott MA, Wilson NE, Liu F, Cao Q, et al. Acute nicotinamide riboside supplementation increases human cerebral NAD+ levels in vivo.</w:t>
      </w:r>
      <w:r>
        <w:t xml:space="preserve"> </w:t>
      </w:r>
      <w:r>
        <w:rPr>
          <w:iCs/>
          <w:i/>
        </w:rPr>
        <w:t xml:space="preserve">Magn Reson Med</w:t>
      </w:r>
      <w:r>
        <w:t xml:space="preserve">. 2024;92(6):2284-2293. DOI: 10.1002/mrm.30227. PMID: 39044608.</w:t>
      </w:r>
      <w:r>
        <w:t xml:space="preserve"> </w:t>
      </w:r>
      <w:hyperlink r:id="rId115">
        <w:r>
          <w:rPr>
            <w:rStyle w:val="Hyperlink"/>
          </w:rPr>
          <w:t xml:space="preserve">https://pubmed.ncbi.nlm.nih.gov/39044608/</w:t>
        </w:r>
      </w:hyperlink>
    </w:p>
    <w:p>
      <w:pPr>
        <w:numPr>
          <w:ilvl w:val="0"/>
          <w:numId w:val="1019"/>
        </w:numPr>
      </w:pPr>
      <w:r>
        <w:t xml:space="preserve">Berven H, Svensen M, Eikeland H, Tvedten N, Sheard EV, Af Geijerstam SA, et al. The NAD-brain pharmacokinetic study of NAD augmentation in blood and brain using oral precursor supplementation.</w:t>
      </w:r>
      <w:r>
        <w:t xml:space="preserve"> </w:t>
      </w:r>
      <w:r>
        <w:rPr>
          <w:iCs/>
          <w:i/>
        </w:rPr>
        <w:t xml:space="preserve">iScience</w:t>
      </w:r>
      <w:r>
        <w:t xml:space="preserve">. 2026;29(3):114764. DOI: 10.1016/j.isci.2026.114764. PMID: 41858901.</w:t>
      </w:r>
      <w:r>
        <w:t xml:space="preserve"> </w:t>
      </w:r>
      <w:hyperlink r:id="rId116">
        <w:r>
          <w:rPr>
            <w:rStyle w:val="Hyperlink"/>
          </w:rPr>
          <w:t xml:space="preserve">https://pubmed.ncbi.nlm.nih.gov/41858901/</w:t>
        </w:r>
      </w:hyperlink>
    </w:p>
    <w:p>
      <w:pPr>
        <w:numPr>
          <w:ilvl w:val="0"/>
          <w:numId w:val="1019"/>
        </w:numPr>
      </w:pPr>
      <w:r>
        <w:t xml:space="preserve">Liang G, Li Y, Lin Y, Yang X, Yang J, Hu S, et al. Nicotinamide N-methyltransferase and liver diseases.</w:t>
      </w:r>
      <w:r>
        <w:t xml:space="preserve"> </w:t>
      </w:r>
      <w:r>
        <w:rPr>
          <w:iCs/>
          <w:i/>
        </w:rPr>
        <w:t xml:space="preserve">Genes Dis</w:t>
      </w:r>
      <w:r>
        <w:t xml:space="preserve">. 2023;10(5):1883-1893. DOI: 10.1016/j.gendis.2022.03.019. PMID: 37492717.</w:t>
      </w:r>
      <w:r>
        <w:t xml:space="preserve"> </w:t>
      </w:r>
      <w:hyperlink r:id="rId117">
        <w:r>
          <w:rPr>
            <w:rStyle w:val="Hyperlink"/>
          </w:rPr>
          <w:t xml:space="preserve">https://pubmed.ncbi.nlm.nih.gov/37492717/</w:t>
        </w:r>
      </w:hyperlink>
    </w:p>
    <w:p>
      <w:pPr>
        <w:numPr>
          <w:ilvl w:val="0"/>
          <w:numId w:val="1019"/>
        </w:numPr>
      </w:pPr>
      <w:r>
        <w:t xml:space="preserve">Gaare JJ, Dölle C, Brakedal B, Brügger K, Haugarvoll K, Nido GS, et al. Nicotinamide riboside supplementation is not associated with altered methylation homeostasis in Parkinson's disease.</w:t>
      </w:r>
      <w:r>
        <w:t xml:space="preserve"> </w:t>
      </w:r>
      <w:r>
        <w:rPr>
          <w:iCs/>
          <w:i/>
        </w:rPr>
        <w:t xml:space="preserve">iScience</w:t>
      </w:r>
      <w:r>
        <w:t xml:space="preserve">. 2023;26(3):106278. DOI: 10.1016/j.isci.2023.106278. PMID: 36936793.</w:t>
      </w:r>
      <w:r>
        <w:t xml:space="preserve"> </w:t>
      </w:r>
      <w:hyperlink r:id="rId118">
        <w:r>
          <w:rPr>
            <w:rStyle w:val="Hyperlink"/>
          </w:rPr>
          <w:t xml:space="preserve">https://pubmed.ncbi.nlm.nih.gov/36936793/</w:t>
        </w:r>
      </w:hyperlink>
    </w:p>
    <w:p>
      <w:pPr>
        <w:numPr>
          <w:ilvl w:val="0"/>
          <w:numId w:val="1019"/>
        </w:numPr>
      </w:pPr>
      <w:r>
        <w:t xml:space="preserve">McRae MP. Betaine supplementation decreases plasma homocysteine in healthy adult participants: a meta-analysis.</w:t>
      </w:r>
      <w:r>
        <w:t xml:space="preserve"> </w:t>
      </w:r>
      <w:r>
        <w:rPr>
          <w:iCs/>
          <w:i/>
        </w:rPr>
        <w:t xml:space="preserve">J Chiropr Med</w:t>
      </w:r>
      <w:r>
        <w:t xml:space="preserve">. 2013;12(1):20-5. DOI: 10.1016/j.jcm.2012.11.001. PMID: 23997720.</w:t>
      </w:r>
      <w:r>
        <w:t xml:space="preserve"> </w:t>
      </w:r>
      <w:hyperlink r:id="rId119">
        <w:r>
          <w:rPr>
            <w:rStyle w:val="Hyperlink"/>
          </w:rPr>
          <w:t xml:space="preserve">https://pubmed.ncbi.nlm.nih.gov/23997720/</w:t>
        </w:r>
      </w:hyperlink>
    </w:p>
    <w:p>
      <w:pPr>
        <w:numPr>
          <w:ilvl w:val="0"/>
          <w:numId w:val="1019"/>
        </w:numPr>
      </w:pPr>
      <w:r>
        <w:t xml:space="preserve">Ashtary-Larky D, Bagheri R, Ghanavati M, Asbaghi O, Tinsley GM, Mombaini D, et al. Effects of betaine supplementation on cardiovascular markers: A systematic review and Meta-analysis.</w:t>
      </w:r>
      <w:r>
        <w:t xml:space="preserve"> </w:t>
      </w:r>
      <w:r>
        <w:rPr>
          <w:iCs/>
          <w:i/>
        </w:rPr>
        <w:t xml:space="preserve">Crit Rev Food Sci Nutr</w:t>
      </w:r>
      <w:r>
        <w:t xml:space="preserve">. 2022;62(23):6516-6533. DOI: 10.1080/10408398.2021.1902938. PMID: 33764214.</w:t>
      </w:r>
      <w:r>
        <w:t xml:space="preserve"> </w:t>
      </w:r>
      <w:hyperlink r:id="rId120">
        <w:r>
          <w:rPr>
            <w:rStyle w:val="Hyperlink"/>
          </w:rPr>
          <w:t xml:space="preserve">https://pubmed.ncbi.nlm.nih.gov/33764214/</w:t>
        </w:r>
      </w:hyperlink>
    </w:p>
    <w:p>
      <w:pPr>
        <w:numPr>
          <w:ilvl w:val="0"/>
          <w:numId w:val="1019"/>
        </w:numPr>
      </w:pPr>
      <w:r>
        <w:t xml:space="preserve">Olthof MR, van Vliet T, Verhoef P, Zock PL, Katan MB. Effect of homocysteine-lowering nutrients on blood lipids: results from four randomised, placebo-controlled studies in healthy humans.</w:t>
      </w:r>
      <w:r>
        <w:t xml:space="preserve"> </w:t>
      </w:r>
      <w:r>
        <w:rPr>
          <w:iCs/>
          <w:i/>
        </w:rPr>
        <w:t xml:space="preserve">PLoS Med</w:t>
      </w:r>
      <w:r>
        <w:t xml:space="preserve">. 2005;2(5):e135. DOI: 10.1371/journal.pmed.0020135. PMID: 15916468.</w:t>
      </w:r>
      <w:r>
        <w:t xml:space="preserve"> </w:t>
      </w:r>
      <w:hyperlink r:id="rId121">
        <w:r>
          <w:rPr>
            <w:rStyle w:val="Hyperlink"/>
          </w:rPr>
          <w:t xml:space="preserve">https://pubmed.ncbi.nlm.nih.gov/15916468/</w:t>
        </w:r>
      </w:hyperlink>
    </w:p>
    <w:p>
      <w:pPr>
        <w:numPr>
          <w:ilvl w:val="0"/>
          <w:numId w:val="1019"/>
        </w:numPr>
      </w:pPr>
      <w:r>
        <w:t xml:space="preserve">Luongo TS, Eller JM, Lu MJ, Niere M, Raith F, Perry C, et al. SLC25A51 is a mammalian mitochondrial NAD+ transporter.</w:t>
      </w:r>
      <w:r>
        <w:t xml:space="preserve"> </w:t>
      </w:r>
      <w:r>
        <w:rPr>
          <w:iCs/>
          <w:i/>
        </w:rPr>
        <w:t xml:space="preserve">Nature</w:t>
      </w:r>
      <w:r>
        <w:t xml:space="preserve">. 2020;588(7836):174-179. DOI: 10.1038/s41586-020-2741-7. PMID: 32906142.</w:t>
      </w:r>
      <w:r>
        <w:t xml:space="preserve"> </w:t>
      </w:r>
      <w:hyperlink r:id="rId122">
        <w:r>
          <w:rPr>
            <w:rStyle w:val="Hyperlink"/>
          </w:rPr>
          <w:t xml:space="preserve">https://pubmed.ncbi.nlm.nih.gov/32906142/</w:t>
        </w:r>
      </w:hyperlink>
    </w:p>
    <w:p>
      <w:pPr>
        <w:numPr>
          <w:ilvl w:val="0"/>
          <w:numId w:val="1019"/>
        </w:numPr>
      </w:pPr>
      <w:r>
        <w:t xml:space="preserve">Li Y, Bie J, Zhao L, Song C, Zhang T, Li M, et al. SLC25A51 promotes tumor growth through sustaining mitochondria acetylation homeostasis and proline biogenesis.</w:t>
      </w:r>
      <w:r>
        <w:t xml:space="preserve"> </w:t>
      </w:r>
      <w:r>
        <w:rPr>
          <w:iCs/>
          <w:i/>
        </w:rPr>
        <w:t xml:space="preserve">Cell Death Differ</w:t>
      </w:r>
      <w:r>
        <w:t xml:space="preserve">. 2023;30(8):1916-1930. DOI: 10.1038/s41418-023-01185-2. PMID: 37419986.</w:t>
      </w:r>
      <w:r>
        <w:t xml:space="preserve"> </w:t>
      </w:r>
      <w:hyperlink r:id="rId123">
        <w:r>
          <w:rPr>
            <w:rStyle w:val="Hyperlink"/>
          </w:rPr>
          <w:t xml:space="preserve">https://pubmed.ncbi.nlm.nih.gov/37419986/</w:t>
        </w:r>
      </w:hyperlink>
    </w:p>
    <w:p>
      <w:pPr>
        <w:numPr>
          <w:ilvl w:val="0"/>
          <w:numId w:val="1019"/>
        </w:numPr>
      </w:pPr>
      <w:r>
        <w:t xml:space="preserve">Navas LE, Carnero A. Nicotinamide Adenine Dinucleotide (NAD) Metabolism as a Relevant Target in Cancer.</w:t>
      </w:r>
      <w:r>
        <w:t xml:space="preserve"> </w:t>
      </w:r>
      <w:r>
        <w:rPr>
          <w:iCs/>
          <w:i/>
        </w:rPr>
        <w:t xml:space="preserve">Cells</w:t>
      </w:r>
      <w:r>
        <w:t xml:space="preserve">. 2022;11(17):2627. DOI: 10.3390/cells11172627. PMID: 36078035.</w:t>
      </w:r>
      <w:r>
        <w:t xml:space="preserve"> </w:t>
      </w:r>
      <w:hyperlink r:id="rId124">
        <w:r>
          <w:rPr>
            <w:rStyle w:val="Hyperlink"/>
          </w:rPr>
          <w:t xml:space="preserve">https://pubmed.ncbi.nlm.nih.gov/36078035/</w:t>
        </w:r>
      </w:hyperlink>
    </w:p>
    <w:p>
      <w:pPr>
        <w:numPr>
          <w:ilvl w:val="0"/>
          <w:numId w:val="1019"/>
        </w:numPr>
      </w:pPr>
      <w:r>
        <w:t xml:space="preserve">Lucena-Cacace A, Otero-Albiol D, Jiménez-García MP, Muñoz-Galvan S, Carnero A. NAMPT Is a Potent Oncogene in Colon Cancer Progression that Modulates Cancer Stem Cell Properties and Resistance to Therapy through Sirt1 and PARP.</w:t>
      </w:r>
      <w:r>
        <w:t xml:space="preserve"> </w:t>
      </w:r>
      <w:r>
        <w:rPr>
          <w:iCs/>
          <w:i/>
        </w:rPr>
        <w:t xml:space="preserve">Clin Cancer Res</w:t>
      </w:r>
      <w:r>
        <w:t xml:space="preserve">. 2018;24(5):1202-1215. DOI: 10.1158/1078-0432.CCR-17-2575. PMID: 29203587.</w:t>
      </w:r>
      <w:r>
        <w:t xml:space="preserve"> </w:t>
      </w:r>
      <w:hyperlink r:id="rId125">
        <w:r>
          <w:rPr>
            <w:rStyle w:val="Hyperlink"/>
          </w:rPr>
          <w:t xml:space="preserve">https://pubmed.ncbi.nlm.nih.gov/29203587/</w:t>
        </w:r>
      </w:hyperlink>
    </w:p>
    <w:p>
      <w:pPr>
        <w:numPr>
          <w:ilvl w:val="0"/>
          <w:numId w:val="1019"/>
        </w:numPr>
      </w:pPr>
      <w:r>
        <w:t xml:space="preserve">Maric T, Bazhin A, Khodakivskyi P, Mikhaylov G, Solodnikova E, Yevtodiyenko A, et al. A bioluminescent-based probe for in vivo non-invasive monitoring of nicotinamide riboside uptake reveals a link between metastasis and NAD+ metabolism.</w:t>
      </w:r>
      <w:r>
        <w:t xml:space="preserve"> </w:t>
      </w:r>
      <w:r>
        <w:rPr>
          <w:iCs/>
          <w:i/>
        </w:rPr>
        <w:t xml:space="preserve">Biosens Bioelectron</w:t>
      </w:r>
      <w:r>
        <w:t xml:space="preserve">. 2023;220:114826. DOI: 10.1016/j.bios.2022.114826. PMID: 36371959.</w:t>
      </w:r>
      <w:r>
        <w:t xml:space="preserve"> </w:t>
      </w:r>
      <w:hyperlink r:id="rId126">
        <w:r>
          <w:rPr>
            <w:rStyle w:val="Hyperlink"/>
          </w:rPr>
          <w:t xml:space="preserve">https://pubmed.ncbi.nlm.nih.gov/36371959/</w:t>
        </w:r>
      </w:hyperlink>
    </w:p>
    <w:p>
      <w:pPr>
        <w:numPr>
          <w:ilvl w:val="0"/>
          <w:numId w:val="1019"/>
        </w:numPr>
      </w:pPr>
      <w:r>
        <w:t xml:space="preserve">Nakazzi F, Zarei M, Lopes M, Graor HJ, Beegan WC, Gu E, et al. Vitamin B3 derivatives support pancreatic cancer cell survival and chemotherapy resistance.</w:t>
      </w:r>
      <w:r>
        <w:t xml:space="preserve"> </w:t>
      </w:r>
      <w:r>
        <w:rPr>
          <w:iCs/>
          <w:i/>
        </w:rPr>
        <w:t xml:space="preserve">Cancer Lett</w:t>
      </w:r>
      <w:r>
        <w:t xml:space="preserve">. 2026;645:218334. DOI: 10.1016/j.canlet.2026.218334. PMID: 41724424.</w:t>
      </w:r>
      <w:r>
        <w:t xml:space="preserve"> </w:t>
      </w:r>
      <w:hyperlink r:id="rId127">
        <w:r>
          <w:rPr>
            <w:rStyle w:val="Hyperlink"/>
          </w:rPr>
          <w:t xml:space="preserve">https://pubmed.ncbi.nlm.nih.gov/41724424/</w:t>
        </w:r>
      </w:hyperlink>
    </w:p>
    <w:p>
      <w:pPr>
        <w:numPr>
          <w:ilvl w:val="0"/>
          <w:numId w:val="1019"/>
        </w:numPr>
      </w:pPr>
      <w:r>
        <w:t xml:space="preserve">Tummala KS, Gomes AL, Yilmaz M, Graña O, Bakiri L, Ruppen I, et al. Inhibition of de novo NAD(+) synthesis by oncogenic URI causes liver tumorigenesis through DNA damage.</w:t>
      </w:r>
      <w:r>
        <w:t xml:space="preserve"> </w:t>
      </w:r>
      <w:r>
        <w:rPr>
          <w:iCs/>
          <w:i/>
        </w:rPr>
        <w:t xml:space="preserve">Cancer Cell</w:t>
      </w:r>
      <w:r>
        <w:t xml:space="preserve">. 2014;26(6):826-839. DOI: 10.1016/j.ccell.2014.10.002. PMID: 25453901.</w:t>
      </w:r>
      <w:r>
        <w:t xml:space="preserve"> </w:t>
      </w:r>
      <w:hyperlink r:id="rId128">
        <w:r>
          <w:rPr>
            <w:rStyle w:val="Hyperlink"/>
          </w:rPr>
          <w:t xml:space="preserve">https://pubmed.ncbi.nlm.nih.gov/25453901/</w:t>
        </w:r>
      </w:hyperlink>
    </w:p>
    <w:p>
      <w:pPr>
        <w:numPr>
          <w:ilvl w:val="0"/>
          <w:numId w:val="1019"/>
        </w:numPr>
      </w:pPr>
      <w:r>
        <w:t xml:space="preserve">Wu Z, Wan Y, Liu H, Liu J, Hu X, Meng W, et al. Nicotinamide riboside enhances the efficacy of gemcitabine and suppresses PDAC premalignant lesions via SIRT3 activation.</w:t>
      </w:r>
      <w:r>
        <w:t xml:space="preserve"> </w:t>
      </w:r>
      <w:r>
        <w:rPr>
          <w:iCs/>
          <w:i/>
        </w:rPr>
        <w:t xml:space="preserve">Biochem Pharmacol</w:t>
      </w:r>
      <w:r>
        <w:t xml:space="preserve">. 2026;244:117585. DOI: 10.1016/j.bcp.2025.117585. PMID: 41349909.</w:t>
      </w:r>
      <w:r>
        <w:t xml:space="preserve"> </w:t>
      </w:r>
      <w:hyperlink r:id="rId129">
        <w:r>
          <w:rPr>
            <w:rStyle w:val="Hyperlink"/>
          </w:rPr>
          <w:t xml:space="preserve">https://pubmed.ncbi.nlm.nih.gov/41349909/</w:t>
        </w:r>
      </w:hyperlink>
    </w:p>
    <w:p>
      <w:pPr>
        <w:numPr>
          <w:ilvl w:val="0"/>
          <w:numId w:val="1019"/>
        </w:numPr>
      </w:pPr>
      <w:r>
        <w:t xml:space="preserve">Wu CY, Reynolds WC, Abril I, McManus AJ, Brenner C, González-Irizarry G, et al. Effects of nicotinamide riboside on NAD+ levels, cognition, and symptom recovery in long-COVID: a randomized controlled trial.</w:t>
      </w:r>
      <w:r>
        <w:t xml:space="preserve"> </w:t>
      </w:r>
      <w:r>
        <w:rPr>
          <w:iCs/>
          <w:i/>
        </w:rPr>
        <w:t xml:space="preserve">EClinicalMedicine</w:t>
      </w:r>
      <w:r>
        <w:t xml:space="preserve">. 2025;89:103633. DOI: 10.1016/j.eclinm.2025.103633. PMID: 41357333.</w:t>
      </w:r>
      <w:r>
        <w:t xml:space="preserve"> </w:t>
      </w:r>
      <w:hyperlink r:id="rId130">
        <w:r>
          <w:rPr>
            <w:rStyle w:val="Hyperlink"/>
          </w:rPr>
          <w:t xml:space="preserve">https://pubmed.ncbi.nlm.nih.gov/41357333/</w:t>
        </w:r>
      </w:hyperlink>
    </w:p>
    <w:p>
      <w:pPr>
        <w:numPr>
          <w:ilvl w:val="0"/>
          <w:numId w:val="1019"/>
        </w:numPr>
      </w:pPr>
      <w:r>
        <w:t xml:space="preserve">Norheim KL, Ben Ezra M, Heckenbach I, Andreasson LM, Eriksen LL, Dyhre-Petersen N, et al. Effect of nicotinamide riboside on airway inflammation in COPD: a randomized, placebo-controlled trial.</w:t>
      </w:r>
      <w:r>
        <w:t xml:space="preserve"> </w:t>
      </w:r>
      <w:r>
        <w:rPr>
          <w:iCs/>
          <w:i/>
        </w:rPr>
        <w:t xml:space="preserve">Nat Aging</w:t>
      </w:r>
      <w:r>
        <w:t xml:space="preserve">. 2024;4(12):1772-1781. DOI: 10.1038/s43587-024-00758-1. PMID: 39548320.</w:t>
      </w:r>
      <w:r>
        <w:t xml:space="preserve"> </w:t>
      </w:r>
      <w:hyperlink r:id="rId131">
        <w:r>
          <w:rPr>
            <w:rStyle w:val="Hyperlink"/>
          </w:rPr>
          <w:t xml:space="preserve">https://pubmed.ncbi.nlm.nih.gov/39548320/</w:t>
        </w:r>
      </w:hyperlink>
    </w:p>
    <w:p>
      <w:pPr>
        <w:numPr>
          <w:ilvl w:val="0"/>
          <w:numId w:val="1019"/>
        </w:numPr>
      </w:pPr>
      <w:r>
        <w:t xml:space="preserve">Berven H, Kverneng S, Sheard E, Søgnen M, Af Geijerstam SA, Haugarvoll K, et al. NR-SAFE: a randomized, double-blind safety trial of high dose nicotinamide riboside in Parkinson's disease.</w:t>
      </w:r>
      <w:r>
        <w:t xml:space="preserve"> </w:t>
      </w:r>
      <w:r>
        <w:rPr>
          <w:iCs/>
          <w:i/>
        </w:rPr>
        <w:t xml:space="preserve">Nat Commun</w:t>
      </w:r>
      <w:r>
        <w:t xml:space="preserve">. 2023;14(1):7793. DOI: 10.1038/s41467-023-43514-6. PMID: 38016950.</w:t>
      </w:r>
      <w:r>
        <w:t xml:space="preserve"> </w:t>
      </w:r>
      <w:hyperlink r:id="rId132">
        <w:r>
          <w:rPr>
            <w:rStyle w:val="Hyperlink"/>
          </w:rPr>
          <w:t xml:space="preserve">https://pubmed.ncbi.nlm.nih.gov/38016950/</w:t>
        </w:r>
      </w:hyperlink>
    </w:p>
    <w:p>
      <w:pPr>
        <w:numPr>
          <w:ilvl w:val="0"/>
          <w:numId w:val="1019"/>
        </w:numPr>
      </w:pPr>
      <w:r>
        <w:t xml:space="preserve">Simic P, Vela Parada XF, Parikh SM, Dellinger R, Guarente LP, Rhee EP. Nicotinamide riboside with pterostilbene (NRPT) increases NAD+ in patients with acute kidney injury (AKI): a randomized, double-blind, placebo-controlled, stepwise safety study of escalating doses of NRPT in patients with AKI.</w:t>
      </w:r>
      <w:r>
        <w:t xml:space="preserve"> </w:t>
      </w:r>
      <w:r>
        <w:rPr>
          <w:iCs/>
          <w:i/>
        </w:rPr>
        <w:t xml:space="preserve">BMC Nephrol</w:t>
      </w:r>
      <w:r>
        <w:t xml:space="preserve">. 2020;21(1):342. DOI: 10.1186/s12882-020-02006-1. PMID: 32791973.</w:t>
      </w:r>
      <w:r>
        <w:t xml:space="preserve"> </w:t>
      </w:r>
      <w:hyperlink r:id="rId133">
        <w:r>
          <w:rPr>
            <w:rStyle w:val="Hyperlink"/>
          </w:rPr>
          <w:t xml:space="preserve">https://pubmed.ncbi.nlm.nih.gov/32791973/</w:t>
        </w:r>
      </w:hyperlink>
    </w:p>
    <w:p>
      <w:pPr>
        <w:numPr>
          <w:ilvl w:val="0"/>
          <w:numId w:val="1019"/>
        </w:numPr>
      </w:pPr>
      <w:r>
        <w:t xml:space="preserve">Zhang M, Chen Y, Jiang N, Zeng J, Zhang J, Wu C, et al. Effects of Nicotinamide Mononucleotide Supplementation on Blood Pressure: A Systematic Review and Meta-Analysis of Randomized Controlled Trials.</w:t>
      </w:r>
      <w:r>
        <w:t xml:space="preserve"> </w:t>
      </w:r>
      <w:r>
        <w:rPr>
          <w:iCs/>
          <w:i/>
        </w:rPr>
        <w:t xml:space="preserve">Nutrients</w:t>
      </w:r>
      <w:r>
        <w:t xml:space="preserve">. 2026;18(6):890. DOI: 10.3390/nu18060890. PMID: 41901064.</w:t>
      </w:r>
      <w:r>
        <w:t xml:space="preserve"> </w:t>
      </w:r>
      <w:hyperlink r:id="rId134">
        <w:r>
          <w:rPr>
            <w:rStyle w:val="Hyperlink"/>
          </w:rPr>
          <w:t xml:space="preserve">https://pubmed.ncbi.nlm.nih.gov/41901064/</w:t>
        </w:r>
      </w:hyperlink>
    </w:p>
    <w:p>
      <w:pPr>
        <w:numPr>
          <w:ilvl w:val="0"/>
          <w:numId w:val="1019"/>
        </w:numPr>
      </w:pPr>
      <w:r>
        <w:t xml:space="preserve">Trętowicz MM, Scantlebery AML, Schomakers BV, Eroğlu KD, van Weeghel M, Spek V, et al. Human whole-blood NAD+ levels do not vary with age or lifestyle interventions.</w:t>
      </w:r>
      <w:r>
        <w:t xml:space="preserve"> </w:t>
      </w:r>
      <w:r>
        <w:rPr>
          <w:iCs/>
          <w:i/>
        </w:rPr>
        <w:t xml:space="preserve">Nat Metab</w:t>
      </w:r>
      <w:r>
        <w:t xml:space="preserve">. 2026;8(6):1282-1290. DOI: 10.1038/s42255-026-01537-5. PMID: 42135539.</w:t>
      </w:r>
      <w:r>
        <w:t xml:space="preserve"> </w:t>
      </w:r>
      <w:hyperlink r:id="rId135">
        <w:r>
          <w:rPr>
            <w:rStyle w:val="Hyperlink"/>
          </w:rPr>
          <w:t xml:space="preserve">https://pubmed.ncbi.nlm.nih.gov/42135539/</w:t>
        </w:r>
      </w:hyperlink>
    </w:p>
    <w:p>
      <w:pPr>
        <w:numPr>
          <w:ilvl w:val="0"/>
          <w:numId w:val="1019"/>
        </w:numPr>
      </w:pPr>
      <w:r>
        <w:t xml:space="preserve">Yang F, Deng X, Yu Y, Luo L, Chen X, Zheng J, et al. Association of Human Whole Blood NAD+ Contents With Aging.</w:t>
      </w:r>
      <w:r>
        <w:t xml:space="preserve"> </w:t>
      </w:r>
      <w:r>
        <w:rPr>
          <w:iCs/>
          <w:i/>
        </w:rPr>
        <w:t xml:space="preserve">Front Endocrinol (Lausanne)</w:t>
      </w:r>
      <w:r>
        <w:t xml:space="preserve">. 2022;13:829658. DOI: 10.3389/fendo.2022.829658. PMID: 35388296.</w:t>
      </w:r>
      <w:r>
        <w:t xml:space="preserve"> </w:t>
      </w:r>
      <w:hyperlink r:id="rId136">
        <w:r>
          <w:rPr>
            <w:rStyle w:val="Hyperlink"/>
          </w:rPr>
          <w:t xml:space="preserve">https://pubmed.ncbi.nlm.nih.gov/35388296/</w:t>
        </w:r>
      </w:hyperlink>
    </w:p>
    <w:p>
      <w:pPr>
        <w:numPr>
          <w:ilvl w:val="0"/>
          <w:numId w:val="1019"/>
        </w:numPr>
      </w:pPr>
      <w:r>
        <w:t xml:space="preserve">Massudi H, Grant R, Braidy N, Guest J, Farnsworth B, Guillemin GJ. Age-associated changes in oxidative stress and NAD+ metabolism in human tissue.</w:t>
      </w:r>
      <w:r>
        <w:t xml:space="preserve"> </w:t>
      </w:r>
      <w:r>
        <w:rPr>
          <w:iCs/>
          <w:i/>
        </w:rPr>
        <w:t xml:space="preserve">PLoS One</w:t>
      </w:r>
      <w:r>
        <w:t xml:space="preserve">. 2012;7(7):e42357. DOI: 10.1371/journal.pone.0042357. PMID: 22848760.</w:t>
      </w:r>
      <w:r>
        <w:t xml:space="preserve"> </w:t>
      </w:r>
      <w:hyperlink r:id="rId137">
        <w:r>
          <w:rPr>
            <w:rStyle w:val="Hyperlink"/>
          </w:rPr>
          <w:t xml:space="preserve">https://pubmed.ncbi.nlm.nih.gov/22848760/</w:t>
        </w:r>
      </w:hyperlink>
    </w:p>
    <w:p>
      <w:pPr>
        <w:numPr>
          <w:ilvl w:val="0"/>
          <w:numId w:val="1019"/>
        </w:numPr>
      </w:pPr>
      <w:r>
        <w:t xml:space="preserve">Cuenoud B, Ipek Ö, Shevlyakova M, Beaumont M, Cunnane SC, Gruetter R, et al. Brain NAD Is Associated With ATP Energy Production and Membrane Phospholipid Turnover in Humans.</w:t>
      </w:r>
      <w:r>
        <w:t xml:space="preserve"> </w:t>
      </w:r>
      <w:r>
        <w:rPr>
          <w:iCs/>
          <w:i/>
        </w:rPr>
        <w:t xml:space="preserve">Front Aging Neurosci</w:t>
      </w:r>
      <w:r>
        <w:t xml:space="preserve">. 2020;12:609517. DOI: 10.3389/fnagi.2020.609517. PMID: 33390929.</w:t>
      </w:r>
      <w:r>
        <w:t xml:space="preserve"> </w:t>
      </w:r>
      <w:hyperlink r:id="rId138">
        <w:r>
          <w:rPr>
            <w:rStyle w:val="Hyperlink"/>
          </w:rPr>
          <w:t xml:space="preserve">https://pubmed.ncbi.nlm.nih.gov/33390929/</w:t>
        </w:r>
      </w:hyperlink>
    </w:p>
    <w:p>
      <w:pPr>
        <w:numPr>
          <w:ilvl w:val="0"/>
          <w:numId w:val="1019"/>
        </w:numPr>
      </w:pPr>
      <w:r>
        <w:t xml:space="preserve">Cambronne XA, Stewart ML, Kim D, Jones-Brunette AM, Morgan RK, Farrens DL, et al. Biosensor reveals multiple sources for mitochondrial NAD⁺.</w:t>
      </w:r>
      <w:r>
        <w:t xml:space="preserve"> </w:t>
      </w:r>
      <w:r>
        <w:rPr>
          <w:iCs/>
          <w:i/>
        </w:rPr>
        <w:t xml:space="preserve">Science</w:t>
      </w:r>
      <w:r>
        <w:t xml:space="preserve">. 2016;352(6292):1474-7. DOI: 10.1126/science.aad5168. PMID: 27313049.</w:t>
      </w:r>
      <w:r>
        <w:t xml:space="preserve"> </w:t>
      </w:r>
      <w:hyperlink r:id="rId139">
        <w:r>
          <w:rPr>
            <w:rStyle w:val="Hyperlink"/>
          </w:rPr>
          <w:t xml:space="preserve">https://pubmed.ncbi.nlm.nih.gov/27313049/</w:t>
        </w:r>
      </w:hyperlink>
    </w:p>
    <w:p>
      <w:pPr>
        <w:numPr>
          <w:ilvl w:val="0"/>
          <w:numId w:val="1019"/>
        </w:numPr>
      </w:pPr>
      <w:r>
        <w:t xml:space="preserve">Høyland LE, VanLinden MR, Niere M, Strømland Ø, Sharma S, Dietze J, et al. Subcellular NAD+ pools are interconnected and buffered by mitochondrial NAD.</w:t>
      </w:r>
      <w:r>
        <w:t xml:space="preserve"> </w:t>
      </w:r>
      <w:r>
        <w:rPr>
          <w:iCs/>
          <w:i/>
        </w:rPr>
        <w:t xml:space="preserve">Nat Metab</w:t>
      </w:r>
      <w:r>
        <w:t xml:space="preserve">. 2024;6(12):2319-2337. DOI: 10.1038/s42255-024-01174-w. PMID: 39702414.</w:t>
      </w:r>
      <w:r>
        <w:t xml:space="preserve"> </w:t>
      </w:r>
      <w:hyperlink r:id="rId140">
        <w:r>
          <w:rPr>
            <w:rStyle w:val="Hyperlink"/>
          </w:rPr>
          <w:t xml:space="preserve">https://pubmed.ncbi.nlm.nih.gov/39702414/</w:t>
        </w:r>
      </w:hyperlink>
    </w:p>
    <w:p>
      <w:pPr>
        <w:numPr>
          <w:ilvl w:val="0"/>
          <w:numId w:val="1019"/>
        </w:numPr>
      </w:pPr>
      <w:r>
        <w:t xml:space="preserve">Trammell SA, Schmidt MS, Weidemann BJ, Redpath P, Jaksch F, Dellinger RW, et al. Nicotinamide riboside is uniquely and orally bioavailable in mice and humans.</w:t>
      </w:r>
      <w:r>
        <w:t xml:space="preserve"> </w:t>
      </w:r>
      <w:r>
        <w:rPr>
          <w:iCs/>
          <w:i/>
        </w:rPr>
        <w:t xml:space="preserve">Nat Commun</w:t>
      </w:r>
      <w:r>
        <w:t xml:space="preserve">. 2016;7:12948. DOI: 10.1038/ncomms12948. PMID: 27721479.</w:t>
      </w:r>
      <w:r>
        <w:t xml:space="preserve"> </w:t>
      </w:r>
      <w:hyperlink r:id="rId141">
        <w:r>
          <w:rPr>
            <w:rStyle w:val="Hyperlink"/>
          </w:rPr>
          <w:t xml:space="preserve">https://pubmed.ncbi.nlm.nih.gov/27721479/</w:t>
        </w:r>
      </w:hyperlink>
    </w:p>
    <w:p>
      <w:pPr>
        <w:numPr>
          <w:ilvl w:val="0"/>
          <w:numId w:val="1019"/>
        </w:numPr>
      </w:pPr>
      <w:r>
        <w:t xml:space="preserve">Ratajczak J, Joffraud M, Trammell SA, Ras R, Canela N, Boutant M, et al. NRK1 controls nicotinamide mononucleotide and nicotinamide riboside metabolism in mammalian cells.</w:t>
      </w:r>
      <w:r>
        <w:t xml:space="preserve"> </w:t>
      </w:r>
      <w:r>
        <w:rPr>
          <w:iCs/>
          <w:i/>
        </w:rPr>
        <w:t xml:space="preserve">Nat Commun</w:t>
      </w:r>
      <w:r>
        <w:t xml:space="preserve">. 2016;7:13103. DOI: 10.1038/ncomms13103. PMID: 27725675.</w:t>
      </w:r>
      <w:r>
        <w:t xml:space="preserve"> </w:t>
      </w:r>
      <w:hyperlink r:id="rId142">
        <w:r>
          <w:rPr>
            <w:rStyle w:val="Hyperlink"/>
          </w:rPr>
          <w:t xml:space="preserve">https://pubmed.ncbi.nlm.nih.gov/27725675/</w:t>
        </w:r>
      </w:hyperlink>
    </w:p>
    <w:p>
      <w:pPr>
        <w:numPr>
          <w:ilvl w:val="0"/>
          <w:numId w:val="1019"/>
        </w:numPr>
      </w:pPr>
      <w:r>
        <w:t xml:space="preserve">Figley MD, Gu W, Nanson JD, Shi Y, Sasaki Y, Cunnea K, et al. SARM1 is a metabolic sensor activated by an increased NMN/NAD+ ratio to trigger axon degeneration.</w:t>
      </w:r>
      <w:r>
        <w:t xml:space="preserve"> </w:t>
      </w:r>
      <w:r>
        <w:rPr>
          <w:iCs/>
          <w:i/>
        </w:rPr>
        <w:t xml:space="preserve">Neuron</w:t>
      </w:r>
      <w:r>
        <w:t xml:space="preserve">. 2021;109(7):1118-1136.e11. DOI: 10.1016/j.neuron.2021.02.009. PMID: 33657413.</w:t>
      </w:r>
      <w:r>
        <w:t xml:space="preserve"> </w:t>
      </w:r>
      <w:hyperlink r:id="rId143">
        <w:r>
          <w:rPr>
            <w:rStyle w:val="Hyperlink"/>
          </w:rPr>
          <w:t xml:space="preserve">https://pubmed.ncbi.nlm.nih.gov/33657413/</w:t>
        </w:r>
      </w:hyperlink>
    </w:p>
    <w:p>
      <w:pPr>
        <w:numPr>
          <w:ilvl w:val="0"/>
          <w:numId w:val="1019"/>
        </w:numPr>
      </w:pPr>
      <w:r>
        <w:t xml:space="preserve">Nakahata Y, Sahar S, Astarita G, Kaluzova M, Sassone-Corsi P. Circadian control of the NAD+ salvage pathway by CLOCK-SIRT1.</w:t>
      </w:r>
      <w:r>
        <w:t xml:space="preserve"> </w:t>
      </w:r>
      <w:r>
        <w:rPr>
          <w:iCs/>
          <w:i/>
        </w:rPr>
        <w:t xml:space="preserve">Science</w:t>
      </w:r>
      <w:r>
        <w:t xml:space="preserve">. 2009;324(5927):654-7. DOI: 10.1126/science.1170803. PMID: 19286518.</w:t>
      </w:r>
      <w:r>
        <w:t xml:space="preserve"> </w:t>
      </w:r>
      <w:hyperlink r:id="rId144">
        <w:r>
          <w:rPr>
            <w:rStyle w:val="Hyperlink"/>
          </w:rPr>
          <w:t xml:space="preserve">https://pubmed.ncbi.nlm.nih.gov/19286518/</w:t>
        </w:r>
      </w:hyperlink>
    </w:p>
    <w:p>
      <w:pPr>
        <w:numPr>
          <w:ilvl w:val="0"/>
          <w:numId w:val="1019"/>
        </w:numPr>
      </w:pPr>
      <w:r>
        <w:t xml:space="preserve">Connell NJ, Grevendonk L, Fealy CE, Moonen-Kornips E, Bruls YMH, Schrauwen-Hinderling VB, et al. NAD+-Precursor Supplementation With L-Tryptophan, Nicotinic Acid, and Nicotinamide Does Not Affect Mitochondrial Function or Skeletal Muscle Function in Physically Compromised Older Adults.</w:t>
      </w:r>
      <w:r>
        <w:t xml:space="preserve"> </w:t>
      </w:r>
      <w:r>
        <w:rPr>
          <w:iCs/>
          <w:i/>
        </w:rPr>
        <w:t xml:space="preserve">J Nutr</w:t>
      </w:r>
      <w:r>
        <w:t xml:space="preserve">. 2021;151(10):2917-2931. DOI: 10.1093/jn/nxab193. PMID: 34191033.</w:t>
      </w:r>
      <w:r>
        <w:t xml:space="preserve"> </w:t>
      </w:r>
      <w:hyperlink r:id="rId145">
        <w:r>
          <w:rPr>
            <w:rStyle w:val="Hyperlink"/>
          </w:rPr>
          <w:t xml:space="preserve">https://pubmed.ncbi.nlm.nih.gov/34191033/</w:t>
        </w:r>
      </w:hyperlink>
    </w:p>
    <w:p>
      <w:pPr>
        <w:numPr>
          <w:ilvl w:val="0"/>
          <w:numId w:val="1019"/>
        </w:numPr>
      </w:pPr>
      <w:r>
        <w:t xml:space="preserve">Jensen JB, Dollerup OL, Møller AB, Billeskov TB, Dalbram E, Chubanava S, et al. A randomized placebo-controlled trial of nicotinamide riboside and pterostilbene supplementation in experimental muscle injury in elderly individuals.</w:t>
      </w:r>
      <w:r>
        <w:t xml:space="preserve"> </w:t>
      </w:r>
      <w:r>
        <w:rPr>
          <w:iCs/>
          <w:i/>
        </w:rPr>
        <w:t xml:space="preserve">JCI Insight</w:t>
      </w:r>
      <w:r>
        <w:t xml:space="preserve">. 2022;7(19):e158314. DOI: 10.1172/jci.insight.158314. PMID: 35998039.</w:t>
      </w:r>
      <w:r>
        <w:t xml:space="preserve"> </w:t>
      </w:r>
      <w:hyperlink r:id="rId146">
        <w:r>
          <w:rPr>
            <w:rStyle w:val="Hyperlink"/>
          </w:rPr>
          <w:t xml:space="preserve">https://pubmed.ncbi.nlm.nih.gov/35998039/</w:t>
        </w:r>
      </w:hyperlink>
    </w:p>
    <w:p>
      <w:pPr>
        <w:numPr>
          <w:ilvl w:val="0"/>
          <w:numId w:val="1019"/>
        </w:numPr>
      </w:pPr>
      <w:r>
        <w:t xml:space="preserve">Orr ME, Kotkowski E, Ramirez P, Bair-Kelps D, Liu Q, Brenner C, et al. A randomized placebo-controlled trial of nicotinamide riboside in older adults with mild cognitive impairment.</w:t>
      </w:r>
      <w:r>
        <w:t xml:space="preserve"> </w:t>
      </w:r>
      <w:r>
        <w:rPr>
          <w:iCs/>
          <w:i/>
        </w:rPr>
        <w:t xml:space="preserve">Geroscience</w:t>
      </w:r>
      <w:r>
        <w:t xml:space="preserve">. 2024;46(1):665-682. DOI: 10.1007/s11357-023-00999-9. PMID: 37994989.</w:t>
      </w:r>
      <w:r>
        <w:t xml:space="preserve"> </w:t>
      </w:r>
      <w:hyperlink r:id="rId147">
        <w:r>
          <w:rPr>
            <w:rStyle w:val="Hyperlink"/>
          </w:rPr>
          <w:t xml:space="preserve">https://pubmed.ncbi.nlm.nih.gov/37994989/</w:t>
        </w:r>
      </w:hyperlink>
    </w:p>
    <w:p>
      <w:pPr>
        <w:numPr>
          <w:ilvl w:val="0"/>
          <w:numId w:val="1019"/>
        </w:numPr>
      </w:pPr>
      <w:r>
        <w:t xml:space="preserve">Lin Y, Zeidan RS, Lapierre-Nguyen S, Costello HM, Anton SD, Buford TW, et al. Nicotinamide riboside combined with exercise to treat hypertension in middle-aged and older adults: a pilot randomized clinical trial.</w:t>
      </w:r>
      <w:r>
        <w:t xml:space="preserve"> </w:t>
      </w:r>
      <w:r>
        <w:rPr>
          <w:iCs/>
          <w:i/>
        </w:rPr>
        <w:t xml:space="preserve">Geroscience</w:t>
      </w:r>
      <w:r>
        <w:t xml:space="preserve">. 2025;47(6):6895-6908. DOI: 10.1007/s11357-025-01815-2. PMID: 40770531.</w:t>
      </w:r>
      <w:r>
        <w:t xml:space="preserve"> </w:t>
      </w:r>
      <w:hyperlink r:id="rId148">
        <w:r>
          <w:rPr>
            <w:rStyle w:val="Hyperlink"/>
          </w:rPr>
          <w:t xml:space="preserve">https://pubmed.ncbi.nlm.nih.gov/40770531/</w:t>
        </w:r>
      </w:hyperlink>
    </w:p>
    <w:p>
      <w:pPr>
        <w:numPr>
          <w:ilvl w:val="0"/>
          <w:numId w:val="1019"/>
        </w:numPr>
      </w:pPr>
      <w:r>
        <w:t xml:space="preserve">Membrez M, Migliavacca E, Christen S, Yaku K, Trieu J, Lee AK, et al. Trigonelline is an NAD+ precursor that improves muscle function during ageing and is reduced in human sarcopenia.</w:t>
      </w:r>
      <w:r>
        <w:t xml:space="preserve"> </w:t>
      </w:r>
      <w:r>
        <w:rPr>
          <w:iCs/>
          <w:i/>
        </w:rPr>
        <w:t xml:space="preserve">Nat Metab</w:t>
      </w:r>
      <w:r>
        <w:t xml:space="preserve">. 2024;6(3):433-447. DOI: 10.1038/s42255-024-00997-x. PMID: 38504132.</w:t>
      </w:r>
      <w:r>
        <w:t xml:space="preserve"> </w:t>
      </w:r>
      <w:hyperlink r:id="rId149">
        <w:r>
          <w:rPr>
            <w:rStyle w:val="Hyperlink"/>
          </w:rPr>
          <w:t xml:space="preserve">https://pubmed.ncbi.nlm.nih.gov/38504132/</w:t>
        </w:r>
      </w:hyperlink>
    </w:p>
    <w:p>
      <w:pPr>
        <w:numPr>
          <w:ilvl w:val="0"/>
          <w:numId w:val="1019"/>
        </w:numPr>
      </w:pPr>
      <w:r>
        <w:t xml:space="preserve">Ishima T, Kimura N, Kobayashi M, Nagai R, Osaka H, Aizawa K. A Simple, Fast, Sensitive LC-MS/MS Method to Quantify NAD(H) in Biological Samples: Plasma NAD(H) Measurement to Monitor Brain Pathophysiology.</w:t>
      </w:r>
      <w:r>
        <w:t xml:space="preserve"> </w:t>
      </w:r>
      <w:r>
        <w:rPr>
          <w:iCs/>
          <w:i/>
        </w:rPr>
        <w:t xml:space="preserve">Int J Mol Sci</w:t>
      </w:r>
      <w:r>
        <w:t xml:space="preserve">. 2024;25(4):2325. DOI: 10.3390/ijms25042325. PMID: 38397001.</w:t>
      </w:r>
      <w:r>
        <w:t xml:space="preserve"> </w:t>
      </w:r>
      <w:hyperlink r:id="rId150">
        <w:r>
          <w:rPr>
            <w:rStyle w:val="Hyperlink"/>
          </w:rPr>
          <w:t xml:space="preserve">https://pubmed.ncbi.nlm.nih.gov/38397001/</w:t>
        </w:r>
      </w:hyperlink>
    </w:p>
    <w:p>
      <w:pPr>
        <w:numPr>
          <w:ilvl w:val="0"/>
          <w:numId w:val="1019"/>
        </w:numPr>
      </w:pPr>
      <w:r>
        <w:t xml:space="preserve">Cuny H, Kristianto E, Hodson MP, Dunwoodie SL. Simultaneous quantification of 26 NAD-related metabolites in plasma, blood, and liver tissue using UHPLC-MS/MS.</w:t>
      </w:r>
      <w:r>
        <w:t xml:space="preserve"> </w:t>
      </w:r>
      <w:r>
        <w:rPr>
          <w:iCs/>
          <w:i/>
        </w:rPr>
        <w:t xml:space="preserve">Anal Biochem</w:t>
      </w:r>
      <w:r>
        <w:t xml:space="preserve">. 2021;633:114409. DOI: 10.1016/j.ab.2021.114409. PMID: 34648806.</w:t>
      </w:r>
      <w:r>
        <w:t xml:space="preserve"> </w:t>
      </w:r>
      <w:hyperlink r:id="rId151">
        <w:r>
          <w:rPr>
            <w:rStyle w:val="Hyperlink"/>
          </w:rPr>
          <w:t xml:space="preserve">https://pubmed.ncbi.nlm.nih.gov/34648806/</w:t>
        </w:r>
      </w:hyperlink>
    </w:p>
    <w:bookmarkEnd w:id="152"/>
    <w:bookmarkEnd w:id="153"/>
    <w:sectPr>
      <w:headerReference r:id="rId9" w:type="default"/>
      <w:footerReference r:id="rId10" w:type="default"/>
      <w:pgSz w:h="16838" w:w="11906"/>
      <w:pgMar w:bottom="1134" w:footer="454" w:header="454" w:left="1276" w:right="1162" w:top="1247"/>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w:hAnsi="DejaVu Sans"/>
        <w:color w:val="53636D"/>
        <w:sz w:val="14"/>
      </w:rPr>
      <w:t xml:space="preserve">NAD+ RESTORATION  •  FINAL SCIENTIFIC MONOGRAPH                                      </w:t>
    </w:r>
    <w: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DejaVu Sans" w:hAnsi="DejaVu Sans"/>
        <w:b/>
        <w:color w:val="1D7C7A"/>
        <w:sz w:val="15"/>
      </w:rPr>
      <w:t>CLINIC TERRAIN  /  CLINICAL INTELLIGENCE UNIT</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10" w:line="271" w:lineRule="auto"/>
    </w:pPr>
    <w:rPr>
      <w:rFonts w:ascii="DejaVu Serif" w:hAnsi="DejaVu Serif"/>
      <w:color w:val="17242C"/>
      <w:sz w:val="20"/>
    </w:rPr>
  </w:style>
  <w:style w:styleId="BodyText" w:type="paragraph">
    <w:name w:val="Body Text"/>
    <w:basedOn w:val="Normal"/>
    <w:link w:val="BodyTextChar"/>
    <w:pPr>
      <w:spacing w:after="110" w:before="180" w:line="271" w:lineRule="auto"/>
    </w:pPr>
    <w:qFormat/>
    <w:rPr>
      <w:rFonts w:ascii="DejaVu Serif" w:hAnsi="DejaVu Serif"/>
      <w:color w:val="17242C"/>
      <w:sz w:val="20"/>
    </w:rPr>
  </w:style>
  <w:style w:customStyle="1" w:styleId="FirstParagraph" w:type="paragraph">
    <w:name w:val="First Paragraph"/>
    <w:basedOn w:val="BodyText"/>
    <w:next w:val="BodyText"/>
    <w:qFormat/>
    <w:pPr>
      <w:spacing w:after="110" w:line="271" w:lineRule="auto"/>
    </w:pPr>
    <w:rPr>
      <w:rFonts w:ascii="DejaVu Serif" w:hAnsi="DejaVu Serif"/>
      <w:color w:val="17242C"/>
      <w:sz w:val="20"/>
    </w:rPr>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360"/>
      <w:jc w:val="center"/>
    </w:pPr>
    <w:rPr>
      <w:rFonts w:ascii="DejaVu Sans" w:asciiTheme="majorHAnsi" w:cstheme="majorBidi" w:eastAsiaTheme="majorEastAsia" w:hAnsi="DejaVu Sans" w:hAnsiTheme="majorHAnsi"/>
      <w:b/>
      <w:bCs/>
      <w:color w:val="123047"/>
      <w:sz w:val="54"/>
      <w:szCs w:val="36"/>
    </w:rPr>
  </w:style>
  <w:style w:styleId="Subtitle" w:type="paragraph">
    <w:name w:val="Subtitle"/>
    <w:basedOn w:val="Title"/>
    <w:next w:val="BodyText"/>
    <w:qFormat/>
    <w:pPr>
      <w:keepNext/>
      <w:keepLines/>
      <w:spacing w:after="360" w:before="160"/>
      <w:jc w:val="center"/>
    </w:pPr>
    <w:rPr>
      <w:rFonts w:ascii="DejaVu Sans" w:hAnsi="DejaVu Sans"/>
      <w:b/>
      <w:color w:val="1D7C7A"/>
      <w:sz w:val="28"/>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21" Type="http://schemas.openxmlformats.org/officeDocument/2006/relationships/hyperlink" Target="https://pubmed.ncbi.nlm.nih.gov/15916468/" TargetMode="External"/><Relationship Id="rId144" Type="http://schemas.openxmlformats.org/officeDocument/2006/relationships/hyperlink" Target="https://pubmed.ncbi.nlm.nih.gov/19286518/" TargetMode="External"/><Relationship Id="rId137" Type="http://schemas.openxmlformats.org/officeDocument/2006/relationships/hyperlink" Target="https://pubmed.ncbi.nlm.nih.gov/22848760/" TargetMode="External"/><Relationship Id="rId119" Type="http://schemas.openxmlformats.org/officeDocument/2006/relationships/hyperlink" Target="https://pubmed.ncbi.nlm.nih.gov/23997720/" TargetMode="External"/><Relationship Id="rId128" Type="http://schemas.openxmlformats.org/officeDocument/2006/relationships/hyperlink" Target="https://pubmed.ncbi.nlm.nih.gov/25453901/" TargetMode="External"/><Relationship Id="rId139" Type="http://schemas.openxmlformats.org/officeDocument/2006/relationships/hyperlink" Target="https://pubmed.ncbi.nlm.nih.gov/27313049/" TargetMode="External"/><Relationship Id="rId141" Type="http://schemas.openxmlformats.org/officeDocument/2006/relationships/hyperlink" Target="https://pubmed.ncbi.nlm.nih.gov/27721479/" TargetMode="External"/><Relationship Id="rId142" Type="http://schemas.openxmlformats.org/officeDocument/2006/relationships/hyperlink" Target="https://pubmed.ncbi.nlm.nih.gov/27725675/" TargetMode="External"/><Relationship Id="rId101" Type="http://schemas.openxmlformats.org/officeDocument/2006/relationships/hyperlink" Target="https://pubmed.ncbi.nlm.nih.gov/29184669/" TargetMode="External"/><Relationship Id="rId125" Type="http://schemas.openxmlformats.org/officeDocument/2006/relationships/hyperlink" Target="https://pubmed.ncbi.nlm.nih.gov/29203587/" TargetMode="External"/><Relationship Id="rId103" Type="http://schemas.openxmlformats.org/officeDocument/2006/relationships/hyperlink" Target="https://pubmed.ncbi.nlm.nih.gov/29599478/" TargetMode="External"/><Relationship Id="rId97" Type="http://schemas.openxmlformats.org/officeDocument/2006/relationships/hyperlink" Target="https://pubmed.ncbi.nlm.nih.gov/30975470/" TargetMode="External"/><Relationship Id="rId102" Type="http://schemas.openxmlformats.org/officeDocument/2006/relationships/hyperlink" Target="https://pubmed.ncbi.nlm.nih.gov/31278280/" TargetMode="External"/><Relationship Id="rId104" Type="http://schemas.openxmlformats.org/officeDocument/2006/relationships/hyperlink" Target="https://pubmed.ncbi.nlm.nih.gov/31412242/" TargetMode="External"/><Relationship Id="rId98" Type="http://schemas.openxmlformats.org/officeDocument/2006/relationships/hyperlink" Target="https://pubmed.ncbi.nlm.nih.gov/31572171/" TargetMode="External"/><Relationship Id="rId105" Type="http://schemas.openxmlformats.org/officeDocument/2006/relationships/hyperlink" Target="https://pubmed.ncbi.nlm.nih.gov/31710095/" TargetMode="External"/><Relationship Id="rId106" Type="http://schemas.openxmlformats.org/officeDocument/2006/relationships/hyperlink" Target="https://pubmed.ncbi.nlm.nih.gov/32320006/" TargetMode="External"/><Relationship Id="rId133" Type="http://schemas.openxmlformats.org/officeDocument/2006/relationships/hyperlink" Target="https://pubmed.ncbi.nlm.nih.gov/32791973/" TargetMode="External"/><Relationship Id="rId122" Type="http://schemas.openxmlformats.org/officeDocument/2006/relationships/hyperlink" Target="https://pubmed.ncbi.nlm.nih.gov/32906142/" TargetMode="External"/><Relationship Id="rId93" Type="http://schemas.openxmlformats.org/officeDocument/2006/relationships/hyperlink" Target="https://pubmed.ncbi.nlm.nih.gov/33087354/" TargetMode="External"/><Relationship Id="rId96" Type="http://schemas.openxmlformats.org/officeDocument/2006/relationships/hyperlink" Target="https://pubmed.ncbi.nlm.nih.gov/33199924/" TargetMode="External"/><Relationship Id="rId95" Type="http://schemas.openxmlformats.org/officeDocument/2006/relationships/hyperlink" Target="https://pubmed.ncbi.nlm.nih.gov/33199925/" TargetMode="External"/><Relationship Id="rId138" Type="http://schemas.openxmlformats.org/officeDocument/2006/relationships/hyperlink" Target="https://pubmed.ncbi.nlm.nih.gov/33390929/" TargetMode="External"/><Relationship Id="rId143" Type="http://schemas.openxmlformats.org/officeDocument/2006/relationships/hyperlink" Target="https://pubmed.ncbi.nlm.nih.gov/33657413/" TargetMode="External"/><Relationship Id="rId120" Type="http://schemas.openxmlformats.org/officeDocument/2006/relationships/hyperlink" Target="https://pubmed.ncbi.nlm.nih.gov/33764214/" TargetMode="External"/><Relationship Id="rId107" Type="http://schemas.openxmlformats.org/officeDocument/2006/relationships/hyperlink" Target="https://pubmed.ncbi.nlm.nih.gov/33888596/" TargetMode="External"/><Relationship Id="rId145" Type="http://schemas.openxmlformats.org/officeDocument/2006/relationships/hyperlink" Target="https://pubmed.ncbi.nlm.nih.gov/34191033/" TargetMode="External"/><Relationship Id="rId108" Type="http://schemas.openxmlformats.org/officeDocument/2006/relationships/hyperlink" Target="https://pubmed.ncbi.nlm.nih.gov/34326206/" TargetMode="External"/><Relationship Id="rId151" Type="http://schemas.openxmlformats.org/officeDocument/2006/relationships/hyperlink" Target="https://pubmed.ncbi.nlm.nih.gov/34648806/" TargetMode="External"/><Relationship Id="rId114" Type="http://schemas.openxmlformats.org/officeDocument/2006/relationships/hyperlink" Target="https://pubmed.ncbi.nlm.nih.gov/35235774/" TargetMode="External"/><Relationship Id="rId136" Type="http://schemas.openxmlformats.org/officeDocument/2006/relationships/hyperlink" Target="https://pubmed.ncbi.nlm.nih.gov/35388296/" TargetMode="External"/><Relationship Id="rId146" Type="http://schemas.openxmlformats.org/officeDocument/2006/relationships/hyperlink" Target="https://pubmed.ncbi.nlm.nih.gov/35998039/" TargetMode="External"/><Relationship Id="rId124" Type="http://schemas.openxmlformats.org/officeDocument/2006/relationships/hyperlink" Target="https://pubmed.ncbi.nlm.nih.gov/36078035/" TargetMode="External"/><Relationship Id="rId126" Type="http://schemas.openxmlformats.org/officeDocument/2006/relationships/hyperlink" Target="https://pubmed.ncbi.nlm.nih.gov/36371959/" TargetMode="External"/><Relationship Id="rId109" Type="http://schemas.openxmlformats.org/officeDocument/2006/relationships/hyperlink" Target="https://pubmed.ncbi.nlm.nih.gov/36740954/" TargetMode="External"/><Relationship Id="rId111" Type="http://schemas.openxmlformats.org/officeDocument/2006/relationships/hyperlink" Target="https://pubmed.ncbi.nlm.nih.gov/36797393/" TargetMode="External"/><Relationship Id="rId118" Type="http://schemas.openxmlformats.org/officeDocument/2006/relationships/hyperlink" Target="https://pubmed.ncbi.nlm.nih.gov/36936793/" TargetMode="External"/><Relationship Id="rId123" Type="http://schemas.openxmlformats.org/officeDocument/2006/relationships/hyperlink" Target="https://pubmed.ncbi.nlm.nih.gov/37419986/" TargetMode="External"/><Relationship Id="rId117" Type="http://schemas.openxmlformats.org/officeDocument/2006/relationships/hyperlink" Target="https://pubmed.ncbi.nlm.nih.gov/37492717/" TargetMode="External"/><Relationship Id="rId94" Type="http://schemas.openxmlformats.org/officeDocument/2006/relationships/hyperlink" Target="https://pubmed.ncbi.nlm.nih.gov/37587695/" TargetMode="External"/><Relationship Id="rId147" Type="http://schemas.openxmlformats.org/officeDocument/2006/relationships/hyperlink" Target="https://pubmed.ncbi.nlm.nih.gov/37994989/" TargetMode="External"/><Relationship Id="rId132" Type="http://schemas.openxmlformats.org/officeDocument/2006/relationships/hyperlink" Target="https://pubmed.ncbi.nlm.nih.gov/38016950/" TargetMode="External"/><Relationship Id="rId150" Type="http://schemas.openxmlformats.org/officeDocument/2006/relationships/hyperlink" Target="https://pubmed.ncbi.nlm.nih.gov/38397001/" TargetMode="External"/><Relationship Id="rId149" Type="http://schemas.openxmlformats.org/officeDocument/2006/relationships/hyperlink" Target="https://pubmed.ncbi.nlm.nih.gov/38504132/" TargetMode="External"/><Relationship Id="rId110" Type="http://schemas.openxmlformats.org/officeDocument/2006/relationships/hyperlink" Target="https://pubmed.ncbi.nlm.nih.gov/38789831/" TargetMode="External"/><Relationship Id="rId115" Type="http://schemas.openxmlformats.org/officeDocument/2006/relationships/hyperlink" Target="https://pubmed.ncbi.nlm.nih.gov/39044608/" TargetMode="External"/><Relationship Id="rId113" Type="http://schemas.openxmlformats.org/officeDocument/2006/relationships/hyperlink" Target="https://pubmed.ncbi.nlm.nih.gov/39116016/" TargetMode="External"/><Relationship Id="rId112" Type="http://schemas.openxmlformats.org/officeDocument/2006/relationships/hyperlink" Target="https://pubmed.ncbi.nlm.nih.gov/39531138/" TargetMode="External"/><Relationship Id="rId131" Type="http://schemas.openxmlformats.org/officeDocument/2006/relationships/hyperlink" Target="https://pubmed.ncbi.nlm.nih.gov/39548320/" TargetMode="External"/><Relationship Id="rId140" Type="http://schemas.openxmlformats.org/officeDocument/2006/relationships/hyperlink" Target="https://pubmed.ncbi.nlm.nih.gov/39702414/" TargetMode="External"/><Relationship Id="rId148" Type="http://schemas.openxmlformats.org/officeDocument/2006/relationships/hyperlink" Target="https://pubmed.ncbi.nlm.nih.gov/40770531/" TargetMode="External"/><Relationship Id="rId129" Type="http://schemas.openxmlformats.org/officeDocument/2006/relationships/hyperlink" Target="https://pubmed.ncbi.nlm.nih.gov/41349909/" TargetMode="External"/><Relationship Id="rId130" Type="http://schemas.openxmlformats.org/officeDocument/2006/relationships/hyperlink" Target="https://pubmed.ncbi.nlm.nih.gov/41357333/" TargetMode="External"/><Relationship Id="rId100" Type="http://schemas.openxmlformats.org/officeDocument/2006/relationships/hyperlink" Target="https://pubmed.ncbi.nlm.nih.gov/41655607/" TargetMode="External"/><Relationship Id="rId99" Type="http://schemas.openxmlformats.org/officeDocument/2006/relationships/hyperlink" Target="https://pubmed.ncbi.nlm.nih.gov/41704678/" TargetMode="External"/><Relationship Id="rId127" Type="http://schemas.openxmlformats.org/officeDocument/2006/relationships/hyperlink" Target="https://pubmed.ncbi.nlm.nih.gov/41724424/" TargetMode="External"/><Relationship Id="rId116" Type="http://schemas.openxmlformats.org/officeDocument/2006/relationships/hyperlink" Target="https://pubmed.ncbi.nlm.nih.gov/41858901/" TargetMode="External"/><Relationship Id="rId134" Type="http://schemas.openxmlformats.org/officeDocument/2006/relationships/hyperlink" Target="https://pubmed.ncbi.nlm.nih.gov/41901064/" TargetMode="External"/><Relationship Id="rId135" Type="http://schemas.openxmlformats.org/officeDocument/2006/relationships/hyperlink" Target="https://pubmed.ncbi.nlm.nih.gov/42135539/" TargetMode="External"/></Relationships>
</file>

<file path=word/_rels/footnotes.xml.rels><?xml version='1.0' encoding='UTF-8' standalone='yes'?>
<Relationships xmlns="http://schemas.openxmlformats.org/package/2006/relationships"><Relationship Id="rId121" Type="http://schemas.openxmlformats.org/officeDocument/2006/relationships/hyperlink" Target="https://pubmed.ncbi.nlm.nih.gov/15916468/" TargetMode="External"/><Relationship Id="rId144" Type="http://schemas.openxmlformats.org/officeDocument/2006/relationships/hyperlink" Target="https://pubmed.ncbi.nlm.nih.gov/19286518/" TargetMode="External"/><Relationship Id="rId137" Type="http://schemas.openxmlformats.org/officeDocument/2006/relationships/hyperlink" Target="https://pubmed.ncbi.nlm.nih.gov/22848760/" TargetMode="External"/><Relationship Id="rId119" Type="http://schemas.openxmlformats.org/officeDocument/2006/relationships/hyperlink" Target="https://pubmed.ncbi.nlm.nih.gov/23997720/" TargetMode="External"/><Relationship Id="rId128" Type="http://schemas.openxmlformats.org/officeDocument/2006/relationships/hyperlink" Target="https://pubmed.ncbi.nlm.nih.gov/25453901/" TargetMode="External"/><Relationship Id="rId139" Type="http://schemas.openxmlformats.org/officeDocument/2006/relationships/hyperlink" Target="https://pubmed.ncbi.nlm.nih.gov/27313049/" TargetMode="External"/><Relationship Id="rId141" Type="http://schemas.openxmlformats.org/officeDocument/2006/relationships/hyperlink" Target="https://pubmed.ncbi.nlm.nih.gov/27721479/" TargetMode="External"/><Relationship Id="rId142" Type="http://schemas.openxmlformats.org/officeDocument/2006/relationships/hyperlink" Target="https://pubmed.ncbi.nlm.nih.gov/27725675/" TargetMode="External"/><Relationship Id="rId101" Type="http://schemas.openxmlformats.org/officeDocument/2006/relationships/hyperlink" Target="https://pubmed.ncbi.nlm.nih.gov/29184669/" TargetMode="External"/><Relationship Id="rId125" Type="http://schemas.openxmlformats.org/officeDocument/2006/relationships/hyperlink" Target="https://pubmed.ncbi.nlm.nih.gov/29203587/" TargetMode="External"/><Relationship Id="rId103" Type="http://schemas.openxmlformats.org/officeDocument/2006/relationships/hyperlink" Target="https://pubmed.ncbi.nlm.nih.gov/29599478/" TargetMode="External"/><Relationship Id="rId97" Type="http://schemas.openxmlformats.org/officeDocument/2006/relationships/hyperlink" Target="https://pubmed.ncbi.nlm.nih.gov/30975470/" TargetMode="External"/><Relationship Id="rId102" Type="http://schemas.openxmlformats.org/officeDocument/2006/relationships/hyperlink" Target="https://pubmed.ncbi.nlm.nih.gov/31278280/" TargetMode="External"/><Relationship Id="rId104" Type="http://schemas.openxmlformats.org/officeDocument/2006/relationships/hyperlink" Target="https://pubmed.ncbi.nlm.nih.gov/31412242/" TargetMode="External"/><Relationship Id="rId98" Type="http://schemas.openxmlformats.org/officeDocument/2006/relationships/hyperlink" Target="https://pubmed.ncbi.nlm.nih.gov/31572171/" TargetMode="External"/><Relationship Id="rId105" Type="http://schemas.openxmlformats.org/officeDocument/2006/relationships/hyperlink" Target="https://pubmed.ncbi.nlm.nih.gov/31710095/" TargetMode="External"/><Relationship Id="rId106" Type="http://schemas.openxmlformats.org/officeDocument/2006/relationships/hyperlink" Target="https://pubmed.ncbi.nlm.nih.gov/32320006/" TargetMode="External"/><Relationship Id="rId133" Type="http://schemas.openxmlformats.org/officeDocument/2006/relationships/hyperlink" Target="https://pubmed.ncbi.nlm.nih.gov/32791973/" TargetMode="External"/><Relationship Id="rId122" Type="http://schemas.openxmlformats.org/officeDocument/2006/relationships/hyperlink" Target="https://pubmed.ncbi.nlm.nih.gov/32906142/" TargetMode="External"/><Relationship Id="rId93" Type="http://schemas.openxmlformats.org/officeDocument/2006/relationships/hyperlink" Target="https://pubmed.ncbi.nlm.nih.gov/33087354/" TargetMode="External"/><Relationship Id="rId96" Type="http://schemas.openxmlformats.org/officeDocument/2006/relationships/hyperlink" Target="https://pubmed.ncbi.nlm.nih.gov/33199924/" TargetMode="External"/><Relationship Id="rId95" Type="http://schemas.openxmlformats.org/officeDocument/2006/relationships/hyperlink" Target="https://pubmed.ncbi.nlm.nih.gov/33199925/" TargetMode="External"/><Relationship Id="rId138" Type="http://schemas.openxmlformats.org/officeDocument/2006/relationships/hyperlink" Target="https://pubmed.ncbi.nlm.nih.gov/33390929/" TargetMode="External"/><Relationship Id="rId143" Type="http://schemas.openxmlformats.org/officeDocument/2006/relationships/hyperlink" Target="https://pubmed.ncbi.nlm.nih.gov/33657413/" TargetMode="External"/><Relationship Id="rId120" Type="http://schemas.openxmlformats.org/officeDocument/2006/relationships/hyperlink" Target="https://pubmed.ncbi.nlm.nih.gov/33764214/" TargetMode="External"/><Relationship Id="rId107" Type="http://schemas.openxmlformats.org/officeDocument/2006/relationships/hyperlink" Target="https://pubmed.ncbi.nlm.nih.gov/33888596/" TargetMode="External"/><Relationship Id="rId145" Type="http://schemas.openxmlformats.org/officeDocument/2006/relationships/hyperlink" Target="https://pubmed.ncbi.nlm.nih.gov/34191033/" TargetMode="External"/><Relationship Id="rId108" Type="http://schemas.openxmlformats.org/officeDocument/2006/relationships/hyperlink" Target="https://pubmed.ncbi.nlm.nih.gov/34326206/" TargetMode="External"/><Relationship Id="rId151" Type="http://schemas.openxmlformats.org/officeDocument/2006/relationships/hyperlink" Target="https://pubmed.ncbi.nlm.nih.gov/34648806/" TargetMode="External"/><Relationship Id="rId114" Type="http://schemas.openxmlformats.org/officeDocument/2006/relationships/hyperlink" Target="https://pubmed.ncbi.nlm.nih.gov/35235774/" TargetMode="External"/><Relationship Id="rId136" Type="http://schemas.openxmlformats.org/officeDocument/2006/relationships/hyperlink" Target="https://pubmed.ncbi.nlm.nih.gov/35388296/" TargetMode="External"/><Relationship Id="rId146" Type="http://schemas.openxmlformats.org/officeDocument/2006/relationships/hyperlink" Target="https://pubmed.ncbi.nlm.nih.gov/35998039/" TargetMode="External"/><Relationship Id="rId124" Type="http://schemas.openxmlformats.org/officeDocument/2006/relationships/hyperlink" Target="https://pubmed.ncbi.nlm.nih.gov/36078035/" TargetMode="External"/><Relationship Id="rId126" Type="http://schemas.openxmlformats.org/officeDocument/2006/relationships/hyperlink" Target="https://pubmed.ncbi.nlm.nih.gov/36371959/" TargetMode="External"/><Relationship Id="rId109" Type="http://schemas.openxmlformats.org/officeDocument/2006/relationships/hyperlink" Target="https://pubmed.ncbi.nlm.nih.gov/36740954/" TargetMode="External"/><Relationship Id="rId111" Type="http://schemas.openxmlformats.org/officeDocument/2006/relationships/hyperlink" Target="https://pubmed.ncbi.nlm.nih.gov/36797393/" TargetMode="External"/><Relationship Id="rId118" Type="http://schemas.openxmlformats.org/officeDocument/2006/relationships/hyperlink" Target="https://pubmed.ncbi.nlm.nih.gov/36936793/" TargetMode="External"/><Relationship Id="rId123" Type="http://schemas.openxmlformats.org/officeDocument/2006/relationships/hyperlink" Target="https://pubmed.ncbi.nlm.nih.gov/37419986/" TargetMode="External"/><Relationship Id="rId117" Type="http://schemas.openxmlformats.org/officeDocument/2006/relationships/hyperlink" Target="https://pubmed.ncbi.nlm.nih.gov/37492717/" TargetMode="External"/><Relationship Id="rId94" Type="http://schemas.openxmlformats.org/officeDocument/2006/relationships/hyperlink" Target="https://pubmed.ncbi.nlm.nih.gov/37587695/" TargetMode="External"/><Relationship Id="rId147" Type="http://schemas.openxmlformats.org/officeDocument/2006/relationships/hyperlink" Target="https://pubmed.ncbi.nlm.nih.gov/37994989/" TargetMode="External"/><Relationship Id="rId132" Type="http://schemas.openxmlformats.org/officeDocument/2006/relationships/hyperlink" Target="https://pubmed.ncbi.nlm.nih.gov/38016950/" TargetMode="External"/><Relationship Id="rId150" Type="http://schemas.openxmlformats.org/officeDocument/2006/relationships/hyperlink" Target="https://pubmed.ncbi.nlm.nih.gov/38397001/" TargetMode="External"/><Relationship Id="rId149" Type="http://schemas.openxmlformats.org/officeDocument/2006/relationships/hyperlink" Target="https://pubmed.ncbi.nlm.nih.gov/38504132/" TargetMode="External"/><Relationship Id="rId110" Type="http://schemas.openxmlformats.org/officeDocument/2006/relationships/hyperlink" Target="https://pubmed.ncbi.nlm.nih.gov/38789831/" TargetMode="External"/><Relationship Id="rId115" Type="http://schemas.openxmlformats.org/officeDocument/2006/relationships/hyperlink" Target="https://pubmed.ncbi.nlm.nih.gov/39044608/" TargetMode="External"/><Relationship Id="rId113" Type="http://schemas.openxmlformats.org/officeDocument/2006/relationships/hyperlink" Target="https://pubmed.ncbi.nlm.nih.gov/39116016/" TargetMode="External"/><Relationship Id="rId112" Type="http://schemas.openxmlformats.org/officeDocument/2006/relationships/hyperlink" Target="https://pubmed.ncbi.nlm.nih.gov/39531138/" TargetMode="External"/><Relationship Id="rId131" Type="http://schemas.openxmlformats.org/officeDocument/2006/relationships/hyperlink" Target="https://pubmed.ncbi.nlm.nih.gov/39548320/" TargetMode="External"/><Relationship Id="rId140" Type="http://schemas.openxmlformats.org/officeDocument/2006/relationships/hyperlink" Target="https://pubmed.ncbi.nlm.nih.gov/39702414/" TargetMode="External"/><Relationship Id="rId148" Type="http://schemas.openxmlformats.org/officeDocument/2006/relationships/hyperlink" Target="https://pubmed.ncbi.nlm.nih.gov/40770531/" TargetMode="External"/><Relationship Id="rId129" Type="http://schemas.openxmlformats.org/officeDocument/2006/relationships/hyperlink" Target="https://pubmed.ncbi.nlm.nih.gov/41349909/" TargetMode="External"/><Relationship Id="rId130" Type="http://schemas.openxmlformats.org/officeDocument/2006/relationships/hyperlink" Target="https://pubmed.ncbi.nlm.nih.gov/41357333/" TargetMode="External"/><Relationship Id="rId100" Type="http://schemas.openxmlformats.org/officeDocument/2006/relationships/hyperlink" Target="https://pubmed.ncbi.nlm.nih.gov/41655607/" TargetMode="External"/><Relationship Id="rId99" Type="http://schemas.openxmlformats.org/officeDocument/2006/relationships/hyperlink" Target="https://pubmed.ncbi.nlm.nih.gov/41704678/" TargetMode="External"/><Relationship Id="rId127" Type="http://schemas.openxmlformats.org/officeDocument/2006/relationships/hyperlink" Target="https://pubmed.ncbi.nlm.nih.gov/41724424/" TargetMode="External"/><Relationship Id="rId116" Type="http://schemas.openxmlformats.org/officeDocument/2006/relationships/hyperlink" Target="https://pubmed.ncbi.nlm.nih.gov/41858901/" TargetMode="External"/><Relationship Id="rId134" Type="http://schemas.openxmlformats.org/officeDocument/2006/relationships/hyperlink" Target="https://pubmed.ncbi.nlm.nih.gov/41901064/" TargetMode="External"/><Relationship Id="rId135" Type="http://schemas.openxmlformats.org/officeDocument/2006/relationships/hyperlink" Target="https://pubmed.ncbi.nlm.nih.gov/42135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Nicotinamide Adenine Dinucleotide Restoration in Mechanistic and Clinical Medicine</dc:title>
  <dc:creator>Valentine Wibowo</dc:creator>
  <cp:keywords/>
  <dcterms:created xsi:type="dcterms:W3CDTF">2026-08-12T11:00:17Z</dcterms:created>
  <dcterms:modified xsi:type="dcterms:W3CDTF">2026-08-12T11:00:17Z</dcterms:modified>
  <dc:subject>Final scientific monograph — NAD+ restoration</dc:subject>
  <dc:description>Clinic Terrain Clinical Intelligence Unit — Version 3.1 final</dc:description>
</cp:coreProperties>
</file>

<file path=docProps/custom.xml><?xml version="1.0" encoding="utf-8"?>
<Properties xmlns="http://schemas.openxmlformats.org/officeDocument/2006/custom-properties" xmlns:vt="http://schemas.openxmlformats.org/officeDocument/2006/docPropsVTypes"/>
</file>